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rajan Pro" w:hAnsi="Trajan Pro"/>
          <w:b/>
          <w:sz w:val="28"/>
          <w:szCs w:val="28"/>
        </w:rPr>
      </w:pPr>
      <w:r>
        <w:rPr>
          <w:lang w:val="ro-RO" w:eastAsia="ro-RO"/>
        </w:rPr>
        <w:drawing>
          <wp:anchor distT="0" distB="0" distL="0" distR="0" simplePos="0" relativeHeight="251661312" behindDoc="0" locked="0" layoutInCell="1" allowOverlap="1">
            <wp:simplePos x="0" y="0"/>
            <wp:positionH relativeFrom="column">
              <wp:posOffset>3599815</wp:posOffset>
            </wp:positionH>
            <wp:positionV relativeFrom="paragraph">
              <wp:posOffset>79375</wp:posOffset>
            </wp:positionV>
            <wp:extent cx="215773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rcRect l="8895" t="37459" r="12559" b="37552"/>
                    <a:stretch>
                      <a:fillRect/>
                    </a:stretch>
                  </pic:blipFill>
                  <pic:spPr>
                    <a:xfrm>
                      <a:off x="0" y="0"/>
                      <a:ext cx="2157730" cy="686435"/>
                    </a:xfrm>
                    <a:prstGeom prst="rect">
                      <a:avLst/>
                    </a:prstGeom>
                  </pic:spPr>
                </pic:pic>
              </a:graphicData>
            </a:graphic>
          </wp:anchor>
        </w:drawing>
      </w:r>
      <w:r>
        <w:rPr>
          <w:lang w:val="ro-RO" w:eastAsia="ro-RO"/>
        </w:rPr>
        <w:drawing>
          <wp:anchor distT="0" distB="0" distL="114300" distR="114300" simplePos="0" relativeHeight="251660288" behindDoc="0" locked="0" layoutInCell="1" allowOverlap="1">
            <wp:simplePos x="0" y="0"/>
            <wp:positionH relativeFrom="column">
              <wp:posOffset>-998220</wp:posOffset>
            </wp:positionH>
            <wp:positionV relativeFrom="margin">
              <wp:align>top</wp:align>
            </wp:positionV>
            <wp:extent cx="899795" cy="899795"/>
            <wp:effectExtent l="0" t="0" r="0" b="0"/>
            <wp:wrapTight wrapText="bothSides">
              <wp:wrapPolygon>
                <wp:start x="6010" y="0"/>
                <wp:lineTo x="2760" y="1748"/>
                <wp:lineTo x="-497" y="5323"/>
                <wp:lineTo x="-497" y="15621"/>
                <wp:lineTo x="4624" y="20527"/>
                <wp:lineTo x="6010" y="20527"/>
                <wp:lineTo x="14445" y="20527"/>
                <wp:lineTo x="15830" y="20527"/>
                <wp:lineTo x="20989" y="15621"/>
                <wp:lineTo x="20989" y="5323"/>
                <wp:lineTo x="17704" y="1748"/>
                <wp:lineTo x="14445" y="0"/>
                <wp:lineTo x="601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stretch>
                      <a:fillRect/>
                    </a:stretch>
                  </pic:blipFill>
                  <pic:spPr>
                    <a:xfrm>
                      <a:off x="0" y="0"/>
                      <a:ext cx="899795" cy="899795"/>
                    </a:xfrm>
                    <a:prstGeom prst="rect">
                      <a:avLst/>
                    </a:prstGeom>
                  </pic:spPr>
                </pic:pic>
              </a:graphicData>
            </a:graphic>
          </wp:anchor>
        </w:drawing>
      </w:r>
      <w:r>
        <w:rPr>
          <w:rFonts w:ascii="Trajan Pro" w:hAnsi="Trajan Pro"/>
          <w:b/>
          <w:sz w:val="28"/>
          <w:szCs w:val="28"/>
        </w:rPr>
        <w:t xml:space="preserve">MINISTERUL FINANȚELOR       </w:t>
      </w:r>
    </w:p>
    <w:p>
      <w:pPr>
        <w:spacing w:after="46"/>
      </w:pPr>
      <w:r>
        <w:rPr>
          <w:rFonts w:ascii="Trebuchet MS" w:hAnsi="Trebuchet MS"/>
          <w:b/>
          <w:sz w:val="24"/>
          <w:szCs w:val="24"/>
        </w:rPr>
        <w:t>Agen</w:t>
      </w:r>
      <w:r>
        <w:rPr>
          <w:rFonts w:ascii="Trebuchet MS" w:hAnsi="Trebuchet MS"/>
          <w:b/>
          <w:sz w:val="24"/>
          <w:szCs w:val="24"/>
          <w:lang w:val="ro-RO"/>
        </w:rPr>
        <w:t>ția Națională de Administrare Fiscală</w:t>
      </w:r>
    </w:p>
    <w:p>
      <w:pPr>
        <w:autoSpaceDE w:val="0"/>
        <w:autoSpaceDN w:val="0"/>
        <w:adjustRightInd w:val="0"/>
        <w:ind w:left="1440" w:leftChars="0" w:right="-48" w:rightChars="-22" w:hanging="1440" w:firstLineChars="0"/>
        <w:jc w:val="both"/>
        <w:rPr>
          <w:rFonts w:hint="default" w:ascii="Trebuchet MS" w:hAnsi="Trebuchet MS" w:cs="Trebuchet MS"/>
          <w:b/>
          <w:bCs w:val="0"/>
          <w:sz w:val="24"/>
          <w:szCs w:val="24"/>
          <w:lang w:val="ro-RO"/>
        </w:rPr>
      </w:pPr>
    </w:p>
    <w:p>
      <w:pPr>
        <w:autoSpaceDE w:val="0"/>
        <w:autoSpaceDN w:val="0"/>
        <w:adjustRightInd w:val="0"/>
        <w:ind w:left="0" w:leftChars="0" w:right="-48" w:rightChars="-22" w:firstLine="0" w:firstLineChars="0"/>
        <w:jc w:val="center"/>
        <w:rPr>
          <w:rFonts w:hint="default" w:ascii="Trebuchet MS" w:hAnsi="Trebuchet MS" w:cs="Trebuchet MS"/>
          <w:b/>
          <w:bCs w:val="0"/>
          <w:sz w:val="24"/>
          <w:szCs w:val="24"/>
          <w:lang w:val="ro-RO"/>
        </w:rPr>
      </w:pPr>
      <w:r>
        <w:rPr>
          <w:rFonts w:hint="default" w:ascii="Trebuchet MS" w:hAnsi="Trebuchet MS" w:cs="Trebuchet MS"/>
          <w:b/>
          <w:bCs w:val="0"/>
          <w:sz w:val="24"/>
          <w:szCs w:val="24"/>
          <w:lang w:val="en-US"/>
        </w:rPr>
        <w:t>R</w:t>
      </w:r>
      <w:r>
        <w:rPr>
          <w:rFonts w:hint="default" w:ascii="Trebuchet MS" w:hAnsi="Trebuchet MS" w:cs="Trebuchet MS"/>
          <w:b/>
          <w:bCs w:val="0"/>
          <w:sz w:val="24"/>
          <w:szCs w:val="24"/>
          <w:lang w:val="ro-RO"/>
        </w:rPr>
        <w:t>eferat de aprobare</w:t>
      </w:r>
    </w:p>
    <w:p>
      <w:pPr>
        <w:autoSpaceDE w:val="0"/>
        <w:autoSpaceDN w:val="0"/>
        <w:adjustRightInd w:val="0"/>
        <w:ind w:left="0" w:leftChars="0" w:right="-48" w:rightChars="-22" w:firstLine="0" w:firstLineChars="0"/>
        <w:jc w:val="center"/>
        <w:rPr>
          <w:rFonts w:hint="default" w:ascii="Trebuchet MS" w:hAnsi="Trebuchet MS" w:cs="Trebuchet MS"/>
          <w:b/>
          <w:bCs w:val="0"/>
          <w:sz w:val="24"/>
          <w:szCs w:val="24"/>
          <w:lang w:val="ro-RO"/>
        </w:rPr>
      </w:pPr>
      <w:r>
        <w:rPr>
          <w:rFonts w:hint="default" w:ascii="Trebuchet MS" w:hAnsi="Trebuchet MS" w:cs="Trebuchet MS"/>
          <w:b/>
          <w:bCs w:val="0"/>
          <w:sz w:val="24"/>
          <w:szCs w:val="24"/>
          <w:lang w:val="en-US"/>
        </w:rPr>
        <w:t xml:space="preserve">a </w:t>
      </w:r>
      <w:r>
        <w:rPr>
          <w:rFonts w:hint="default" w:ascii="Trebuchet MS" w:hAnsi="Trebuchet MS" w:cs="Trebuchet MS"/>
          <w:b/>
          <w:bCs w:val="0"/>
          <w:sz w:val="24"/>
          <w:szCs w:val="24"/>
          <w:lang w:val="ro-RO"/>
        </w:rPr>
        <w:t>proiect</w:t>
      </w:r>
      <w:r>
        <w:rPr>
          <w:rFonts w:hint="default" w:ascii="Trebuchet MS" w:hAnsi="Trebuchet MS" w:cs="Trebuchet MS"/>
          <w:b/>
          <w:bCs w:val="0"/>
          <w:sz w:val="24"/>
          <w:szCs w:val="24"/>
          <w:lang w:val="en-US"/>
        </w:rPr>
        <w:t>ului</w:t>
      </w:r>
      <w:r>
        <w:rPr>
          <w:rFonts w:hint="default" w:ascii="Trebuchet MS" w:hAnsi="Trebuchet MS" w:cs="Trebuchet MS"/>
          <w:b/>
          <w:bCs w:val="0"/>
          <w:sz w:val="24"/>
          <w:szCs w:val="24"/>
          <w:lang w:val="ro-RO"/>
        </w:rPr>
        <w:t xml:space="preserve"> de ordin </w:t>
      </w:r>
      <w:r>
        <w:rPr>
          <w:rFonts w:hint="default" w:ascii="Trebuchet MS" w:hAnsi="Trebuchet MS" w:cs="Trebuchet MS"/>
          <w:b/>
          <w:bCs w:val="0"/>
          <w:sz w:val="24"/>
          <w:szCs w:val="24"/>
          <w:lang w:val="en-US"/>
        </w:rPr>
        <w:t>al pre</w:t>
      </w:r>
      <w:r>
        <w:rPr>
          <w:rFonts w:hint="default" w:ascii="Trebuchet MS" w:hAnsi="Trebuchet MS" w:cs="Trebuchet MS"/>
          <w:b/>
          <w:bCs w:val="0"/>
          <w:sz w:val="24"/>
          <w:szCs w:val="24"/>
          <w:lang w:val="ro-RO"/>
        </w:rPr>
        <w:t xml:space="preserve">ședintelui Agenţiei Naţionale de Administrare Fiscală </w:t>
      </w:r>
      <w:r>
        <w:rPr>
          <w:rFonts w:hint="default" w:ascii="Trebuchet MS" w:hAnsi="Trebuchet MS"/>
          <w:b/>
          <w:bCs w:val="0"/>
          <w:sz w:val="24"/>
          <w:szCs w:val="24"/>
          <w:lang w:val="ro-RO"/>
        </w:rPr>
        <w:t>pentru modificarea şi completarea Ordinului președintelui Agenției Naționale de Administrare Fiscală nr. 352/2022 pentru aprobarea Procedurii de soluţionare a deconturilor cu sume negative de taxă pe valoarea adăugată cu opţiune de rambursare</w:t>
      </w:r>
      <w:bookmarkStart w:id="0" w:name="_GoBack"/>
      <w:bookmarkEnd w:id="0"/>
    </w:p>
    <w:p>
      <w:pPr>
        <w:jc w:val="both"/>
        <w:rPr>
          <w:rFonts w:hint="default" w:ascii="Trebuchet MS" w:hAnsi="Trebuchet MS" w:cs="Trebuchet MS"/>
          <w:sz w:val="24"/>
          <w:szCs w:val="24"/>
          <w:lang w:val="ro-RO"/>
        </w:rPr>
      </w:pPr>
      <w:r>
        <w:rPr>
          <w:rFonts w:hint="default" w:ascii="Trebuchet MS" w:hAnsi="Trebuchet MS" w:cs="Trebuchet MS"/>
          <w:sz w:val="24"/>
          <w:szCs w:val="24"/>
          <w:lang w:val="ro-RO"/>
        </w:rPr>
        <w:t xml:space="preserve">Potrivit art.169 alin.(4) lit.a) - c) din Legea nr.207/2015 privind Codul de procedură fiscală (Codul de procedură fiscală) se </w:t>
      </w:r>
      <w:r>
        <w:rPr>
          <w:rFonts w:hint="default" w:ascii="Trebuchet MS" w:hAnsi="Trebuchet MS" w:eastAsia="Times New Roman CE" w:cs="Trebuchet MS"/>
          <w:i w:val="0"/>
          <w:iCs/>
          <w:sz w:val="24"/>
          <w:szCs w:val="24"/>
          <w:lang w:val="en-US"/>
        </w:rPr>
        <w:t>consideră că persoanele impozabile prezintă un risc de rambursare necuvenită a TVA dacă</w:t>
      </w:r>
      <w:r>
        <w:rPr>
          <w:rFonts w:hint="default" w:ascii="Trebuchet MS" w:hAnsi="Trebuchet MS" w:cs="Trebuchet MS"/>
          <w:sz w:val="24"/>
          <w:szCs w:val="24"/>
          <w:lang w:val="ro-RO"/>
        </w:rPr>
        <w:t>:</w:t>
      </w:r>
    </w:p>
    <w:p>
      <w:pPr>
        <w:numPr>
          <w:ilvl w:val="0"/>
          <w:numId w:val="1"/>
        </w:numPr>
        <w:ind w:firstLine="720" w:firstLineChars="0"/>
        <w:jc w:val="both"/>
        <w:rPr>
          <w:rFonts w:hint="default" w:ascii="Trebuchet MS" w:hAnsi="Trebuchet MS" w:cs="Trebuchet MS"/>
          <w:sz w:val="24"/>
          <w:szCs w:val="24"/>
          <w:lang w:val="ro-RO"/>
        </w:rPr>
      </w:pPr>
      <w:r>
        <w:rPr>
          <w:rFonts w:hint="default" w:ascii="Trebuchet MS" w:hAnsi="Trebuchet MS" w:cs="Trebuchet MS"/>
          <w:sz w:val="24"/>
          <w:szCs w:val="24"/>
          <w:lang w:val="ro-RO"/>
        </w:rPr>
        <w:t>organele fiscale primesc documente oficiale de la alte instituţii, care vizează aspecte de natură fiscală şi se constată că au incidenţă în acordarea unei rambursări necuvenite de TVA;</w:t>
      </w:r>
    </w:p>
    <w:p>
      <w:pPr>
        <w:numPr>
          <w:ilvl w:val="0"/>
          <w:numId w:val="1"/>
        </w:numPr>
        <w:ind w:left="0" w:leftChars="0" w:firstLine="720" w:firstLineChars="0"/>
        <w:jc w:val="both"/>
        <w:rPr>
          <w:rFonts w:hint="default" w:ascii="Trebuchet MS" w:hAnsi="Trebuchet MS" w:cs="Trebuchet MS"/>
          <w:sz w:val="24"/>
          <w:szCs w:val="24"/>
          <w:lang w:val="ro-RO"/>
        </w:rPr>
      </w:pPr>
      <w:r>
        <w:rPr>
          <w:rFonts w:hint="default" w:ascii="Trebuchet MS" w:hAnsi="Trebuchet MS" w:cs="Trebuchet MS"/>
          <w:sz w:val="24"/>
          <w:szCs w:val="24"/>
          <w:lang w:val="ro-RO"/>
        </w:rPr>
        <w:t>în cadrul acţiunilor de control fiscal s-au constatat fapte care pot întruni elementele constitutive ale unor infracţiuni cu implicaţii de natură fiscală;</w:t>
      </w:r>
    </w:p>
    <w:p>
      <w:pPr>
        <w:numPr>
          <w:ilvl w:val="0"/>
          <w:numId w:val="1"/>
        </w:numPr>
        <w:ind w:left="0" w:leftChars="0" w:firstLine="720" w:firstLineChars="0"/>
        <w:jc w:val="both"/>
        <w:rPr>
          <w:rFonts w:hint="default" w:ascii="Trebuchet MS" w:hAnsi="Trebuchet MS" w:cs="Trebuchet MS"/>
          <w:sz w:val="24"/>
          <w:szCs w:val="24"/>
          <w:lang w:val="ro-RO"/>
        </w:rPr>
      </w:pPr>
      <w:r>
        <w:rPr>
          <w:rFonts w:hint="default" w:ascii="Trebuchet MS" w:hAnsi="Trebuchet MS" w:cs="Trebuchet MS"/>
          <w:sz w:val="24"/>
          <w:szCs w:val="24"/>
          <w:lang w:val="ro-RO"/>
        </w:rPr>
        <w:t>cu ocazia inspecţiei fiscale ulterioare au fost stabilite diferenţe mai mari de 10% din suma rambursată, dar nu mai puţin de 50.000 lei pentru fiecare decont de TVA care a făcut obiectul inspecţiei fiscale ulterioare.</w:t>
      </w:r>
    </w:p>
    <w:p>
      <w:pPr>
        <w:ind w:right="-48" w:rightChars="-22"/>
        <w:jc w:val="both"/>
        <w:rPr>
          <w:rFonts w:hint="default" w:ascii="Trebuchet MS" w:hAnsi="Trebuchet MS" w:cs="Trebuchet MS"/>
          <w:sz w:val="24"/>
          <w:szCs w:val="24"/>
          <w:lang w:val="ro-RO"/>
        </w:rPr>
      </w:pPr>
      <w:r>
        <w:rPr>
          <w:rFonts w:hint="default" w:ascii="Trebuchet MS" w:hAnsi="Trebuchet MS" w:cs="Trebuchet MS"/>
          <w:sz w:val="24"/>
          <w:szCs w:val="24"/>
          <w:lang w:val="ro-RO"/>
        </w:rPr>
        <w:t xml:space="preserve">Prin </w:t>
      </w:r>
      <w:r>
        <w:rPr>
          <w:rFonts w:hint="default" w:ascii="Trebuchet MS" w:hAnsi="Trebuchet MS" w:cs="Trebuchet MS"/>
          <w:sz w:val="24"/>
          <w:szCs w:val="24"/>
          <w:lang w:val="en-US"/>
        </w:rPr>
        <w:t>art.XIII</w:t>
      </w:r>
      <w:r>
        <w:rPr>
          <w:rFonts w:hint="default" w:ascii="Trebuchet MS" w:hAnsi="Trebuchet MS" w:cs="Trebuchet MS"/>
          <w:sz w:val="24"/>
          <w:szCs w:val="24"/>
          <w:lang w:val="ro-RO"/>
        </w:rPr>
        <w:t xml:space="preserve"> </w:t>
      </w:r>
      <w:r>
        <w:rPr>
          <w:rFonts w:hint="default" w:ascii="Trebuchet MS" w:hAnsi="Trebuchet MS" w:cs="Trebuchet MS"/>
          <w:sz w:val="24"/>
          <w:szCs w:val="24"/>
          <w:lang w:val="en-US"/>
        </w:rPr>
        <w:t>din Ordonan</w:t>
      </w:r>
      <w:r>
        <w:rPr>
          <w:rFonts w:hint="default" w:ascii="Trebuchet MS" w:hAnsi="Trebuchet MS" w:cs="Trebuchet MS"/>
          <w:sz w:val="24"/>
          <w:szCs w:val="24"/>
          <w:lang w:val="ro-RO"/>
        </w:rPr>
        <w:t>ța de urgență nr.</w:t>
      </w:r>
      <w:r>
        <w:rPr>
          <w:rFonts w:hint="default" w:ascii="Trebuchet MS" w:hAnsi="Trebuchet MS" w:cs="Trebuchet MS"/>
          <w:sz w:val="24"/>
          <w:szCs w:val="24"/>
          <w:lang w:val="en-US"/>
        </w:rPr>
        <w:t>38/2026</w:t>
      </w:r>
      <w:r>
        <w:rPr>
          <w:rFonts w:hint="default" w:ascii="Trebuchet MS" w:hAnsi="Trebuchet MS" w:cs="Trebuchet MS"/>
          <w:sz w:val="24"/>
          <w:szCs w:val="24"/>
          <w:lang w:val="ro-RO"/>
        </w:rPr>
        <w:t xml:space="preserve"> </w:t>
      </w:r>
      <w:r>
        <w:rPr>
          <w:rFonts w:hint="default" w:ascii="Trebuchet MS" w:hAnsi="Trebuchet MS" w:cs="Trebuchet MS"/>
          <w:sz w:val="24"/>
          <w:szCs w:val="24"/>
          <w:lang w:val="en-US"/>
        </w:rPr>
        <w:t>pentru modificarea şi completarea unor acte normative</w:t>
      </w:r>
      <w:r>
        <w:rPr>
          <w:rFonts w:hint="default" w:ascii="Trebuchet MS" w:hAnsi="Trebuchet MS" w:cs="Trebuchet MS"/>
          <w:sz w:val="24"/>
          <w:szCs w:val="24"/>
          <w:lang w:val="ro-RO"/>
        </w:rPr>
        <w:t xml:space="preserve">, s-a prevăzut că </w:t>
      </w:r>
      <w:r>
        <w:rPr>
          <w:rFonts w:hint="default" w:ascii="Trebuchet MS" w:hAnsi="Trebuchet MS" w:eastAsia="Times New Roman CE" w:cs="Trebuchet MS"/>
          <w:i w:val="0"/>
          <w:iCs/>
          <w:sz w:val="24"/>
          <w:szCs w:val="24"/>
          <w:lang w:val="en-US"/>
        </w:rPr>
        <w:t xml:space="preserve">persoanele impozabile prezintă un risc de rambursare necuvenită a TVA </w:t>
      </w:r>
      <w:r>
        <w:rPr>
          <w:rFonts w:hint="default" w:ascii="Trebuchet MS" w:hAnsi="Trebuchet MS" w:eastAsia="Times New Roman CE" w:cs="Trebuchet MS"/>
          <w:i w:val="0"/>
          <w:iCs/>
          <w:sz w:val="24"/>
          <w:szCs w:val="24"/>
          <w:lang w:val="ro-RO"/>
        </w:rPr>
        <w:t xml:space="preserve">și </w:t>
      </w:r>
      <w:r>
        <w:rPr>
          <w:rFonts w:hint="default" w:ascii="Trebuchet MS" w:hAnsi="Trebuchet MS" w:eastAsia="Times New Roman CE" w:cs="Trebuchet MS"/>
          <w:i w:val="0"/>
          <w:iCs/>
          <w:sz w:val="24"/>
          <w:szCs w:val="24"/>
          <w:lang w:val="en-US"/>
        </w:rPr>
        <w:t>dacă se regăsesc</w:t>
      </w:r>
      <w:r>
        <w:rPr>
          <w:rFonts w:hint="default" w:ascii="Trebuchet MS" w:hAnsi="Trebuchet MS" w:eastAsia="Times New Roman CE" w:cs="Trebuchet MS"/>
          <w:i w:val="0"/>
          <w:iCs/>
          <w:sz w:val="24"/>
          <w:szCs w:val="24"/>
          <w:lang w:val="ro-RO"/>
        </w:rPr>
        <w:t xml:space="preserve"> în alte situaţii (cu excepția celor prevăzute la art.169 alin.(4) lit.a) - c) din Codul de procedură fiscală), situații care se aprobă prin </w:t>
      </w:r>
      <w:r>
        <w:rPr>
          <w:rFonts w:hint="default" w:ascii="Trebuchet MS" w:hAnsi="Trebuchet MS" w:cs="Trebuchet MS"/>
          <w:sz w:val="24"/>
          <w:szCs w:val="24"/>
          <w:lang w:val="ro-RO"/>
        </w:rPr>
        <w:t>ordin al preşedintelui Agenției Naționale de Administrare Fiscală.</w:t>
      </w:r>
    </w:p>
    <w:p>
      <w:pPr>
        <w:jc w:val="both"/>
        <w:rPr>
          <w:rFonts w:hint="default" w:ascii="Trebuchet MS" w:hAnsi="Trebuchet MS" w:eastAsia="Times New Roman CE" w:cs="Trebuchet MS"/>
          <w:i w:val="0"/>
          <w:iCs/>
          <w:sz w:val="24"/>
          <w:szCs w:val="24"/>
          <w:lang w:val="ro-RO"/>
        </w:rPr>
      </w:pPr>
      <w:r>
        <w:rPr>
          <w:rFonts w:hint="default" w:ascii="Trebuchet MS" w:hAnsi="Trebuchet MS" w:eastAsia="Times New Roman CE" w:cs="Trebuchet MS"/>
          <w:i w:val="0"/>
          <w:iCs/>
          <w:sz w:val="24"/>
          <w:szCs w:val="24"/>
          <w:lang w:val="ro-RO"/>
        </w:rPr>
        <w:t>Procedura de soluționare a deconturilor cu sume negative de TVA cu opțiune de rambursare este aprobată prin Ordinul președintelui Agenției Naționale de Administrare Fiscală nr.352/2022, modificată prin Ordinul președintelui Agenției Naționale de Administrare Fiscală nr.506/2026.</w:t>
      </w:r>
    </w:p>
    <w:p>
      <w:pPr>
        <w:jc w:val="both"/>
        <w:rPr>
          <w:rFonts w:hint="default" w:ascii="Trebuchet MS" w:hAnsi="Trebuchet MS" w:eastAsia="Times New Roman CE" w:cs="Trebuchet MS"/>
          <w:i w:val="0"/>
          <w:iCs/>
          <w:sz w:val="24"/>
          <w:szCs w:val="24"/>
          <w:lang w:val="ro-RO"/>
        </w:rPr>
      </w:pPr>
      <w:r>
        <w:rPr>
          <w:rFonts w:hint="default" w:ascii="Trebuchet MS" w:hAnsi="Trebuchet MS" w:eastAsia="Times New Roman CE" w:cs="Trebuchet MS"/>
          <w:i w:val="0"/>
          <w:iCs/>
          <w:sz w:val="24"/>
          <w:szCs w:val="24"/>
          <w:lang w:val="ro-RO"/>
        </w:rPr>
        <w:t xml:space="preserve">În scopul aducerii la îndeplinire a prevederilor art.XIII din Ordonanța de </w:t>
      </w:r>
      <w:r>
        <w:rPr>
          <w:rFonts w:hint="default" w:ascii="Trebuchet MS" w:hAnsi="Trebuchet MS" w:cs="Trebuchet MS"/>
          <w:sz w:val="24"/>
          <w:szCs w:val="24"/>
          <w:lang w:val="ro-RO"/>
        </w:rPr>
        <w:t>urgență nr.</w:t>
      </w:r>
      <w:r>
        <w:rPr>
          <w:rFonts w:hint="default" w:ascii="Trebuchet MS" w:hAnsi="Trebuchet MS" w:cs="Trebuchet MS"/>
          <w:sz w:val="24"/>
          <w:szCs w:val="24"/>
          <w:lang w:val="en-US"/>
        </w:rPr>
        <w:t>38/2026</w:t>
      </w:r>
      <w:r>
        <w:rPr>
          <w:rFonts w:hint="default" w:ascii="Trebuchet MS" w:hAnsi="Trebuchet MS" w:cs="Trebuchet MS"/>
          <w:sz w:val="24"/>
          <w:szCs w:val="24"/>
          <w:lang w:val="ro-RO"/>
        </w:rPr>
        <w:t>,</w:t>
      </w:r>
      <w:r>
        <w:rPr>
          <w:rFonts w:hint="default" w:ascii="Trebuchet MS" w:hAnsi="Trebuchet MS" w:eastAsia="Times New Roman CE" w:cs="Trebuchet MS"/>
          <w:i w:val="0"/>
          <w:iCs/>
          <w:sz w:val="24"/>
          <w:szCs w:val="24"/>
          <w:lang w:val="ro-RO"/>
        </w:rPr>
        <w:t xml:space="preserve"> propunem ca noile situații în care persoanele impozabile prezintă risc de rambursare necuvenită a TVA să fie aprobate printr-o anexă la Procedura de soluționare a deconturilor cu sume negative de TVA cu opțiune de rambursare.</w:t>
      </w:r>
    </w:p>
    <w:p>
      <w:pPr>
        <w:jc w:val="both"/>
        <w:rPr>
          <w:rFonts w:hint="default" w:ascii="Trebuchet MS" w:hAnsi="Trebuchet MS"/>
          <w:b w:val="0"/>
          <w:bCs w:val="0"/>
          <w:i w:val="0"/>
          <w:iCs w:val="0"/>
          <w:sz w:val="24"/>
          <w:szCs w:val="24"/>
          <w:lang w:val="ro-RO"/>
        </w:rPr>
      </w:pPr>
      <w:r>
        <w:rPr>
          <w:rFonts w:hint="default" w:ascii="Trebuchet MS" w:hAnsi="Trebuchet MS" w:eastAsia="Times New Roman CE" w:cs="Trebuchet MS"/>
          <w:i w:val="0"/>
          <w:iCs/>
          <w:sz w:val="24"/>
          <w:szCs w:val="24"/>
          <w:lang w:val="ro-RO"/>
        </w:rPr>
        <w:t>De asemenea, e</w:t>
      </w:r>
      <w:r>
        <w:rPr>
          <w:rFonts w:hint="default" w:ascii="Trebuchet MS" w:hAnsi="Trebuchet MS" w:cs="Trebuchet MS"/>
          <w:sz w:val="24"/>
          <w:szCs w:val="24"/>
          <w:lang w:val="ro-RO"/>
        </w:rPr>
        <w:t>ste necesară modificarea procedurii, în scopul stabilirii fluxului procedural prin care organele fiscale cu atribuții de administrare fiscală analizează noile situații și soluționează DNOR depuse de persoanele impozabile aflate în aceste situații, în funcție de rezultatul analizei.</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Totodată, propunem modificarea următoarelor aspecte procedurale, rezultate din activitatea practică a organelor fiscale cu atribuții în soluționarea solicitărilor de rambursare:</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 redefinirea sintagmelor ”deconturi aflate în curs de soluționare” și ”primul decont cu opțiune de rambursare”;</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 comunicarea actelor către persoana impozabilă să se facă de către structura emitentă (ex.compartimentul de colectare să comunice persoanei impozabile Decizia privind compensarea obligaţiilor fiscale şi/sau Nota privind restituirea/rambursarea unor sume, după efectuarea operaţiunilor de stingere a creanţelor fiscale);</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-având în vedere circuitul electronic al documentelor între structurile de administrare și structurile de inspecție fiscală, propunem ca informațiile din deconturile pentru care este necesară efectuarea inspecției fiscale anticipate să fie transmise, zilnic, prin intermediul unui borderou, compartimentului cu atribuții de inspecție fiscală, de către compartimentul de specialitate;</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 pentru situațiile în care, după emiterea deciziei de rambursare fără efectuarea inspecției fiscale anticipate, organul fiscal constată că persoana impozabilă prezintă risc de rambursare necuvenită sau a fost declanșatâ procedura de lichidare voluntară/a fost deschisă procedura de insolvență, se desființează, potrivit procedurii, decizia de rambusare emisă, se propune standardizarea unui model de Decizie privind desființarea deciziei de rambursare a TVA.</w:t>
      </w:r>
    </w:p>
    <w:p>
      <w:pPr>
        <w:jc w:val="both"/>
        <w:rPr>
          <w:rFonts w:hint="default" w:ascii="Trebuchet MS" w:hAnsi="Trebuchet MS"/>
          <w:b w:val="0"/>
          <w:bCs w:val="0"/>
          <w:i w:val="0"/>
          <w:iCs w:val="0"/>
          <w:sz w:val="24"/>
          <w:szCs w:val="24"/>
          <w:lang w:val="ro-RO"/>
        </w:rPr>
      </w:pPr>
      <w:r>
        <w:rPr>
          <w:rFonts w:hint="default" w:ascii="Trebuchet MS" w:hAnsi="Trebuchet MS"/>
          <w:b w:val="0"/>
          <w:bCs w:val="0"/>
          <w:i w:val="0"/>
          <w:iCs w:val="0"/>
          <w:sz w:val="24"/>
          <w:szCs w:val="24"/>
          <w:lang w:val="ro-RO"/>
        </w:rPr>
        <w:t>- pentru situațiile în care, la data radierii persoanei impozabile au rămas deconturi cu sume negative de TVA cu opţiune de rambursare nesoluţionate, se propune ca sumele negative înscrise în sceste deconturi să fie transferate într-o evidență separată, până la stabilirea persoanei care preia eventualul drept de rambursare.</w:t>
      </w:r>
    </w:p>
    <w:p/>
    <w:sectPr>
      <w:headerReference r:id="rId5" w:type="default"/>
      <w:footerReference r:id="rId6" w:type="default"/>
      <w:pgSz w:w="11906" w:h="16838"/>
      <w:pgMar w:top="851" w:right="758" w:bottom="1107" w:left="2268" w:header="0" w:footer="240" w:gutter="0"/>
      <w:cols w:space="708"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EE"/>
    <w:family w:val="swiss"/>
    <w:pitch w:val="default"/>
    <w:sig w:usb0="E1002EFF" w:usb1="C000605B" w:usb2="00000029" w:usb3="00000000" w:csb0="200101FF" w:csb1="20280000"/>
  </w:font>
  <w:font w:name="Liberation Sans">
    <w:panose1 w:val="020B0604020202020204"/>
    <w:charset w:val="EE"/>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Myriad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EE"/>
    <w:family w:val="swiss"/>
    <w:pitch w:val="default"/>
    <w:sig w:usb0="00000687" w:usb1="00000000" w:usb2="00000000" w:usb3="00000000" w:csb0="2000009F" w:csb1="00000000"/>
  </w:font>
  <w:font w:name="Times New Roman CE">
    <w:altName w:val="Times New Roman"/>
    <w:panose1 w:val="02020603050405020304"/>
    <w:charset w:val="EE"/>
    <w:family w:val="auto"/>
    <w:pitch w:val="default"/>
    <w:sig w:usb0="00000000" w:usb1="00000000" w:usb2="00000000" w:usb3="00000000" w:csb0="00000002" w:csb1="00000000"/>
  </w:font>
  <w:font w:name="Franklin Gothic Demi">
    <w:panose1 w:val="020B0703020102020204"/>
    <w:charset w:val="EE"/>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2104826"/>
    </w:sdtPr>
    <w:sdtContent>
      <w:p>
        <w:pPr>
          <w:pStyle w:val="7"/>
        </w:pPr>
      </w:p>
      <w:p>
        <w:pPr>
          <w:pStyle w:val="7"/>
          <w:rPr>
            <w:rFonts w:ascii="Trebuchet MS" w:hAnsi="Trebuchet MS"/>
          </w:rPr>
        </w:pPr>
        <w:r>
          <w:rPr>
            <w:rFonts w:ascii="Trebuchet MS" w:hAnsi="Trebuchet MS" w:eastAsia="Franklin Gothic Demi" w:cs="Arial"/>
            <w:b/>
            <w:bCs/>
            <w:color w:val="000000"/>
            <w:sz w:val="18"/>
            <w:szCs w:val="18"/>
            <w:lang w:val="ro-RO"/>
          </w:rPr>
          <w:t>Document care conține date cu caracter personal protejate de prevederile Regulamentului (UE) 2016/679</w:t>
        </w:r>
      </w:p>
      <w:p>
        <w:pPr>
          <w:pStyle w:val="7"/>
          <w:jc w:val="right"/>
        </w:pPr>
        <w:r>
          <w:t xml:space="preserve">Page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bCs/>
            <w:sz w:val="24"/>
            <w:szCs w:val="24"/>
          </w:rPr>
          <w:fldChar w:fldCharType="begin"/>
        </w:r>
        <w:r>
          <w:rPr>
            <w:bCs/>
            <w:sz w:val="24"/>
            <w:szCs w:val="24"/>
          </w:rPr>
          <w:instrText xml:space="preserve">NUMPAGES</w:instrText>
        </w:r>
        <w:r>
          <w:rPr>
            <w:bCs/>
            <w:sz w:val="24"/>
            <w:szCs w:val="24"/>
          </w:rPr>
          <w:fldChar w:fldCharType="separate"/>
        </w:r>
        <w:r>
          <w:rPr>
            <w:bCs/>
            <w:sz w:val="24"/>
            <w:szCs w:val="24"/>
          </w:rPr>
          <w:t>3</w:t>
        </w:r>
        <w:r>
          <w:rPr>
            <w:bCs/>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PowerPlusWaterMarkObject22346" o:spid="_x0000_s2049" o:spt="136" type="#_x0000_t136" style="position:absolute;left:0pt;height:151.45pt;width:435.8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Segoe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E340C7"/>
    <w:multiLevelType w:val="multilevel"/>
    <w:tmpl w:val="5EE340C7"/>
    <w:lvl w:ilvl="0" w:tentative="0">
      <w:start w:val="1"/>
      <w:numFmt w:val="lowerLetter"/>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94223"/>
    <w:rsid w:val="0079451E"/>
    <w:rsid w:val="008222A8"/>
    <w:rsid w:val="00912D19"/>
    <w:rsid w:val="00A07FFC"/>
    <w:rsid w:val="00A226FD"/>
    <w:rsid w:val="00B429DA"/>
    <w:rsid w:val="00CA2888"/>
    <w:rsid w:val="00E41566"/>
    <w:rsid w:val="00E7178E"/>
    <w:rsid w:val="00FA04F0"/>
    <w:rsid w:val="01224BCF"/>
    <w:rsid w:val="018F789A"/>
    <w:rsid w:val="029F0E81"/>
    <w:rsid w:val="0300052A"/>
    <w:rsid w:val="04590E02"/>
    <w:rsid w:val="062A3302"/>
    <w:rsid w:val="0B144810"/>
    <w:rsid w:val="0CC87B17"/>
    <w:rsid w:val="0E805924"/>
    <w:rsid w:val="0EA14787"/>
    <w:rsid w:val="0F9019AC"/>
    <w:rsid w:val="102C1875"/>
    <w:rsid w:val="122D1E1E"/>
    <w:rsid w:val="126A31EB"/>
    <w:rsid w:val="12DE1E8B"/>
    <w:rsid w:val="13143247"/>
    <w:rsid w:val="13B85378"/>
    <w:rsid w:val="13E102F5"/>
    <w:rsid w:val="14572CB7"/>
    <w:rsid w:val="17E026B4"/>
    <w:rsid w:val="18D756B1"/>
    <w:rsid w:val="1AEA4BFE"/>
    <w:rsid w:val="1AF7055B"/>
    <w:rsid w:val="1B647246"/>
    <w:rsid w:val="1C307E09"/>
    <w:rsid w:val="1CDF7194"/>
    <w:rsid w:val="1DA24953"/>
    <w:rsid w:val="1E0140CC"/>
    <w:rsid w:val="22624F27"/>
    <w:rsid w:val="226925FC"/>
    <w:rsid w:val="23426646"/>
    <w:rsid w:val="23EC3604"/>
    <w:rsid w:val="2A4B079D"/>
    <w:rsid w:val="2BE33B1C"/>
    <w:rsid w:val="2C086E00"/>
    <w:rsid w:val="2DC65C48"/>
    <w:rsid w:val="2DD73D53"/>
    <w:rsid w:val="2EE71F06"/>
    <w:rsid w:val="319765FA"/>
    <w:rsid w:val="340F44BB"/>
    <w:rsid w:val="348F2B2E"/>
    <w:rsid w:val="34D3683C"/>
    <w:rsid w:val="355606AC"/>
    <w:rsid w:val="357534EC"/>
    <w:rsid w:val="38B83BB2"/>
    <w:rsid w:val="3A696B2D"/>
    <w:rsid w:val="3B3D458C"/>
    <w:rsid w:val="3DE96038"/>
    <w:rsid w:val="3E26398E"/>
    <w:rsid w:val="3F0576B8"/>
    <w:rsid w:val="3FA95C6F"/>
    <w:rsid w:val="404B4638"/>
    <w:rsid w:val="405808F0"/>
    <w:rsid w:val="42EC5385"/>
    <w:rsid w:val="441A1CAB"/>
    <w:rsid w:val="4426055E"/>
    <w:rsid w:val="449D3482"/>
    <w:rsid w:val="46123096"/>
    <w:rsid w:val="47441FE8"/>
    <w:rsid w:val="47BD7FCF"/>
    <w:rsid w:val="47DA132D"/>
    <w:rsid w:val="494A7FB9"/>
    <w:rsid w:val="4DB46A34"/>
    <w:rsid w:val="4FF847B9"/>
    <w:rsid w:val="52E309AA"/>
    <w:rsid w:val="5526645B"/>
    <w:rsid w:val="55B44F91"/>
    <w:rsid w:val="55D7216C"/>
    <w:rsid w:val="5643771C"/>
    <w:rsid w:val="56B3729E"/>
    <w:rsid w:val="594D5351"/>
    <w:rsid w:val="596523AB"/>
    <w:rsid w:val="59FC701C"/>
    <w:rsid w:val="5A8F2898"/>
    <w:rsid w:val="5B3379DD"/>
    <w:rsid w:val="5B8761A2"/>
    <w:rsid w:val="5F124447"/>
    <w:rsid w:val="5F6949CA"/>
    <w:rsid w:val="5F88185C"/>
    <w:rsid w:val="60F66CEC"/>
    <w:rsid w:val="627E27DC"/>
    <w:rsid w:val="650C480E"/>
    <w:rsid w:val="65955DBA"/>
    <w:rsid w:val="65F262E0"/>
    <w:rsid w:val="66100D4B"/>
    <w:rsid w:val="665640F0"/>
    <w:rsid w:val="67300677"/>
    <w:rsid w:val="68B8604B"/>
    <w:rsid w:val="6B796F2C"/>
    <w:rsid w:val="6BB14AFB"/>
    <w:rsid w:val="6BE66E74"/>
    <w:rsid w:val="6D1F0D83"/>
    <w:rsid w:val="6E405A29"/>
    <w:rsid w:val="6EFD155C"/>
    <w:rsid w:val="70023A30"/>
    <w:rsid w:val="702D7D6F"/>
    <w:rsid w:val="712E17F8"/>
    <w:rsid w:val="7149559C"/>
    <w:rsid w:val="71A4680E"/>
    <w:rsid w:val="72924997"/>
    <w:rsid w:val="72FC17BC"/>
    <w:rsid w:val="75524D93"/>
    <w:rsid w:val="75862548"/>
    <w:rsid w:val="75BE6208"/>
    <w:rsid w:val="784A0B7A"/>
    <w:rsid w:val="787A4A5B"/>
    <w:rsid w:val="7B3F4A84"/>
    <w:rsid w:val="7E0D599D"/>
    <w:rsid w:val="7F243AFE"/>
    <w:rsid w:val="7FE7114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9"/>
    <w:semiHidden/>
    <w:unhideWhenUsed/>
    <w:qFormat/>
    <w:uiPriority w:val="99"/>
    <w:pPr>
      <w:spacing w:after="0" w:line="240" w:lineRule="auto"/>
    </w:pPr>
    <w:rPr>
      <w:rFonts w:ascii="Tahoma" w:hAnsi="Tahoma" w:cs="Tahoma"/>
      <w:sz w:val="16"/>
      <w:szCs w:val="16"/>
    </w:rPr>
  </w:style>
  <w:style w:type="paragraph" w:styleId="5">
    <w:name w:val="Body Text"/>
    <w:basedOn w:val="1"/>
    <w:qFormat/>
    <w:uiPriority w:val="0"/>
    <w:pPr>
      <w:spacing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paragraph" w:styleId="7">
    <w:name w:val="footer"/>
    <w:basedOn w:val="1"/>
    <w:link w:val="12"/>
    <w:unhideWhenUsed/>
    <w:qFormat/>
    <w:uiPriority w:val="99"/>
    <w:pPr>
      <w:tabs>
        <w:tab w:val="center" w:pos="4680"/>
        <w:tab w:val="right" w:pos="9360"/>
      </w:tabs>
      <w:spacing w:after="0" w:line="240" w:lineRule="auto"/>
    </w:pPr>
  </w:style>
  <w:style w:type="paragraph" w:styleId="8">
    <w:name w:val="header"/>
    <w:basedOn w:val="1"/>
    <w:link w:val="11"/>
    <w:unhideWhenUsed/>
    <w:qFormat/>
    <w:uiPriority w:val="99"/>
    <w:pPr>
      <w:tabs>
        <w:tab w:val="center" w:pos="4680"/>
        <w:tab w:val="right" w:pos="9360"/>
      </w:tabs>
      <w:spacing w:after="0" w:line="240" w:lineRule="auto"/>
    </w:pPr>
  </w:style>
  <w:style w:type="paragraph" w:styleId="9">
    <w:name w:val="List"/>
    <w:basedOn w:val="5"/>
    <w:qFormat/>
    <w:uiPriority w:val="0"/>
    <w:rPr>
      <w:rFonts w:cs="Arial"/>
    </w:rPr>
  </w:style>
  <w:style w:type="paragraph" w:styleId="10">
    <w:name w:val="Normal (Web)"/>
    <w:basedOn w:val="1"/>
    <w:qFormat/>
    <w:uiPriority w:val="0"/>
    <w:pPr>
      <w:spacing w:before="100" w:beforeAutospacing="1" w:after="100" w:afterAutospacing="1"/>
    </w:pPr>
    <w:rPr>
      <w:color w:val="000000"/>
    </w:rPr>
  </w:style>
  <w:style w:type="character" w:customStyle="1" w:styleId="11">
    <w:name w:val="Header Char"/>
    <w:basedOn w:val="2"/>
    <w:link w:val="8"/>
    <w:qFormat/>
    <w:uiPriority w:val="99"/>
  </w:style>
  <w:style w:type="character" w:customStyle="1" w:styleId="12">
    <w:name w:val="Footer Char"/>
    <w:basedOn w:val="2"/>
    <w:link w:val="7"/>
    <w:qFormat/>
    <w:uiPriority w:val="99"/>
  </w:style>
  <w:style w:type="character" w:customStyle="1" w:styleId="13">
    <w:name w:val="Internet Link"/>
    <w:basedOn w:val="2"/>
    <w:unhideWhenUsed/>
    <w:qFormat/>
    <w:uiPriority w:val="99"/>
    <w:rPr>
      <w:color w:val="0563C1" w:themeColor="hyperlink"/>
      <w:u w:val="single"/>
      <w14:textFill>
        <w14:solidFill>
          <w14:schemeClr w14:val="hlink"/>
        </w14:solidFill>
      </w14:textFill>
    </w:rPr>
  </w:style>
  <w:style w:type="paragraph" w:customStyle="1" w:styleId="14">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15">
    <w:name w:val="Index"/>
    <w:basedOn w:val="1"/>
    <w:qFormat/>
    <w:uiPriority w:val="0"/>
    <w:pPr>
      <w:suppressLineNumbers/>
    </w:pPr>
    <w:rPr>
      <w:rFonts w:cs="Arial"/>
    </w:rPr>
  </w:style>
  <w:style w:type="paragraph" w:customStyle="1" w:styleId="16">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17">
    <w:name w:val="Frame Contents"/>
    <w:basedOn w:val="1"/>
    <w:qFormat/>
    <w:uiPriority w:val="0"/>
  </w:style>
  <w:style w:type="paragraph" w:customStyle="1" w:styleId="18">
    <w:name w:val="Default"/>
    <w:qFormat/>
    <w:uiPriority w:val="0"/>
    <w:pPr>
      <w:autoSpaceDE w:val="0"/>
      <w:autoSpaceDN w:val="0"/>
      <w:adjustRightInd w:val="0"/>
      <w:spacing w:after="200" w:line="276" w:lineRule="auto"/>
    </w:pPr>
    <w:rPr>
      <w:rFonts w:ascii="Myriad Pro" w:hAnsi="Times New Roman" w:eastAsia="Times New Roman" w:cs="Myriad Pro"/>
      <w:color w:val="000000"/>
      <w:sz w:val="24"/>
      <w:szCs w:val="24"/>
      <w:lang w:val="en-US" w:eastAsia="en-US" w:bidi="ar-SA"/>
    </w:rPr>
  </w:style>
  <w:style w:type="character" w:customStyle="1" w:styleId="19">
    <w:name w:val="Balloon Text Char"/>
    <w:basedOn w:val="2"/>
    <w:link w:val="4"/>
    <w:semiHidden/>
    <w:qFormat/>
    <w:uiPriority w:val="99"/>
    <w:rPr>
      <w:rFonts w:ascii="Tahoma" w:hAnsi="Tahoma" w:cs="Tahoma" w:eastAsiaTheme="minorHAnsi"/>
      <w:sz w:val="16"/>
      <w:szCs w:val="16"/>
      <w:lang w:val="en-US" w:eastAsia="en-US"/>
    </w:rPr>
  </w:style>
  <w:style w:type="paragraph" w:customStyle="1" w:styleId="20">
    <w:name w:val="Default Text"/>
    <w:basedOn w:val="1"/>
    <w:qFormat/>
    <w:uiPriority w:val="0"/>
    <w:pPr>
      <w:autoSpaceDE w:val="0"/>
    </w:pPr>
    <w:rPr>
      <w:kern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3</Pages>
  <Words>533</Words>
  <Characters>3097</Characters>
  <Lines>25</Lines>
  <Paragraphs>7</Paragraphs>
  <TotalTime>1</TotalTime>
  <ScaleCrop>false</ScaleCrop>
  <LinksUpToDate>false</LinksUpToDate>
  <CharactersWithSpaces>3623</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2021-06-24T07:29:00Z</dcterms:created>
  <dc:creator>CRISTIAN-NICOLAE MARIN</dc:creator>
  <cp:lastModifiedBy>80063398</cp:lastModifiedBy>
  <cp:lastPrinted>2026-08-07T07:15:00Z</cp:lastPrinted>
  <dcterms:modified xsi:type="dcterms:W3CDTF">2026-08-10T07:42:00Z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1033-11.2.0.10463</vt:lpwstr>
  </property>
  <property fmtid="{D5CDD505-2E9C-101B-9397-08002B2CF9AE}" pid="10" name="ICV">
    <vt:lpwstr>DCEC8E3846F741D3B0163CDC2983A4A7</vt:lpwstr>
  </property>
</Properties>
</file>