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Trajan Pro" w:hAnsi="Trajan Pro"/>
          <w:b/>
          <w:sz w:val="28"/>
          <w:szCs w:val="28"/>
          <w:lang w:val="ro-RO"/>
        </w:rPr>
      </w:pPr>
      <w:r>
        <w:rPr>
          <w:lang w:val="ro-RO" w:eastAsia="ro-RO"/>
        </w:rPr>
        <w:drawing>
          <wp:anchor distT="0" distB="0" distL="0" distR="0" simplePos="0" relativeHeight="251661312" behindDoc="0" locked="0" layoutInCell="1" allowOverlap="1">
            <wp:simplePos x="0" y="0"/>
            <wp:positionH relativeFrom="column">
              <wp:posOffset>4351655</wp:posOffset>
            </wp:positionH>
            <wp:positionV relativeFrom="paragraph">
              <wp:posOffset>50800</wp:posOffset>
            </wp:positionV>
            <wp:extent cx="1986915"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8"/>
                    <a:srcRect l="8895" t="37459" r="12559" b="37552"/>
                    <a:stretch>
                      <a:fillRect/>
                    </a:stretch>
                  </pic:blipFill>
                  <pic:spPr>
                    <a:xfrm>
                      <a:off x="0" y="0"/>
                      <a:ext cx="1986915" cy="686435"/>
                    </a:xfrm>
                    <a:prstGeom prst="rect">
                      <a:avLst/>
                    </a:prstGeom>
                  </pic:spPr>
                </pic:pic>
              </a:graphicData>
            </a:graphic>
          </wp:anchor>
        </w:drawing>
      </w:r>
      <w:r>
        <w:rPr>
          <w:lang w:val="ro-RO" w:eastAsia="ro-RO"/>
        </w:rPr>
        <w:drawing>
          <wp:anchor distT="0" distB="0" distL="114300" distR="114300" simplePos="0" relativeHeight="251660288" behindDoc="0" locked="0" layoutInCell="1" allowOverlap="1">
            <wp:simplePos x="0" y="0"/>
            <wp:positionH relativeFrom="column">
              <wp:posOffset>-609600</wp:posOffset>
            </wp:positionH>
            <wp:positionV relativeFrom="margin">
              <wp:posOffset>-85725</wp:posOffset>
            </wp:positionV>
            <wp:extent cx="933450" cy="895350"/>
            <wp:effectExtent l="0" t="0" r="0" b="0"/>
            <wp:wrapTight wrapText="bothSides">
              <wp:wrapPolygon>
                <wp:start x="6612" y="0"/>
                <wp:lineTo x="3967" y="1379"/>
                <wp:lineTo x="0" y="5515"/>
                <wp:lineTo x="0" y="16085"/>
                <wp:lineTo x="5290" y="21140"/>
                <wp:lineTo x="6612" y="21140"/>
                <wp:lineTo x="14547" y="21140"/>
                <wp:lineTo x="15869" y="21140"/>
                <wp:lineTo x="21159" y="16085"/>
                <wp:lineTo x="21159" y="5515"/>
                <wp:lineTo x="17192" y="1379"/>
                <wp:lineTo x="14547" y="0"/>
                <wp:lineTo x="6612"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933450" cy="895350"/>
                    </a:xfrm>
                    <a:prstGeom prst="rect">
                      <a:avLst/>
                    </a:prstGeom>
                  </pic:spPr>
                </pic:pic>
              </a:graphicData>
            </a:graphic>
          </wp:anchor>
        </w:drawing>
      </w:r>
      <w:r>
        <w:rPr>
          <w:rFonts w:ascii="Trajan Pro" w:hAnsi="Trajan Pro"/>
          <w:b/>
          <w:sz w:val="28"/>
          <w:szCs w:val="28"/>
          <w:lang w:val="ro-RO"/>
        </w:rPr>
        <w:t xml:space="preserve">    MINISTERUL FINANȚELOR       </w:t>
      </w:r>
    </w:p>
    <w:p>
      <w:pPr>
        <w:spacing w:after="0"/>
        <w:rPr>
          <w:rFonts w:ascii="Trebuchet MS" w:hAnsi="Trebuchet MS"/>
          <w:b/>
          <w:sz w:val="24"/>
          <w:szCs w:val="24"/>
          <w:lang w:val="ro-RO"/>
        </w:rPr>
      </w:pPr>
      <w:r>
        <w:rPr>
          <w:rFonts w:ascii="Trebuchet MS" w:hAnsi="Trebuchet MS"/>
          <w:b/>
          <w:sz w:val="24"/>
          <w:szCs w:val="24"/>
          <w:lang w:val="ro-RO"/>
        </w:rPr>
        <w:t xml:space="preserve">     Agenția Națională de Administrare Fiscală</w:t>
      </w:r>
    </w:p>
    <w:p>
      <w:pPr>
        <w:spacing w:after="0"/>
        <w:rPr>
          <w:rFonts w:ascii="Trebuchet MS" w:hAnsi="Trebuchet MS" w:cs="Trebuchet MS"/>
          <w:b/>
          <w:bCs/>
          <w:color w:val="000000"/>
          <w:sz w:val="24"/>
          <w:szCs w:val="24"/>
          <w:lang w:val="ro-RO"/>
        </w:rPr>
      </w:pPr>
    </w:p>
    <w:p>
      <w:pPr>
        <w:spacing w:after="0"/>
        <w:jc w:val="left"/>
        <w:rPr>
          <w:rFonts w:hint="default" w:ascii="Trebuchet MS" w:hAnsi="Trebuchet MS" w:cs="Trebuchet MS"/>
          <w:b w:val="0"/>
          <w:bCs w:val="0"/>
          <w:color w:val="000000"/>
          <w:sz w:val="24"/>
          <w:szCs w:val="24"/>
          <w:lang w:val="ro-RO"/>
        </w:rPr>
      </w:pPr>
    </w:p>
    <w:p>
      <w:pPr>
        <w:suppressAutoHyphens w:val="0"/>
        <w:autoSpaceDE w:val="0"/>
        <w:autoSpaceDN w:val="0"/>
        <w:adjustRightInd w:val="0"/>
        <w:jc w:val="center"/>
        <w:rPr>
          <w:rFonts w:hint="default" w:ascii="Trebuchet MS" w:hAnsi="Trebuchet MS" w:cs="Trebuchet MS"/>
          <w:b/>
          <w:bCs/>
          <w:sz w:val="24"/>
          <w:szCs w:val="24"/>
          <w:lang w:val="pt-BR"/>
        </w:rPr>
      </w:pPr>
      <w:r>
        <w:rPr>
          <w:rFonts w:hint="default" w:ascii="Trebuchet MS" w:hAnsi="Trebuchet MS" w:cs="Trebuchet MS"/>
          <w:b/>
          <w:bCs/>
          <w:sz w:val="24"/>
          <w:szCs w:val="24"/>
          <w:lang w:val="ro-RO"/>
        </w:rPr>
        <w:t>R</w:t>
      </w:r>
      <w:r>
        <w:rPr>
          <w:rFonts w:hint="default" w:ascii="Trebuchet MS" w:hAnsi="Trebuchet MS" w:cs="Trebuchet MS"/>
          <w:b/>
          <w:bCs/>
          <w:sz w:val="24"/>
          <w:szCs w:val="24"/>
          <w:lang w:val="pt-BR"/>
        </w:rPr>
        <w:t xml:space="preserve">eferat de aprobare </w:t>
      </w:r>
    </w:p>
    <w:p>
      <w:pPr>
        <w:suppressAutoHyphens w:val="0"/>
        <w:autoSpaceDE w:val="0"/>
        <w:autoSpaceDN w:val="0"/>
        <w:adjustRightInd w:val="0"/>
        <w:jc w:val="center"/>
        <w:rPr>
          <w:rFonts w:hint="default" w:ascii="Trebuchet MS" w:hAnsi="Trebuchet MS" w:cs="Trebuchet MS"/>
          <w:b/>
          <w:bCs/>
          <w:sz w:val="24"/>
          <w:szCs w:val="24"/>
          <w:lang w:val="en-US"/>
        </w:rPr>
      </w:pPr>
      <w:r>
        <w:rPr>
          <w:rFonts w:hint="default" w:ascii="Trebuchet MS" w:hAnsi="Trebuchet MS" w:cs="Trebuchet MS"/>
          <w:b/>
          <w:bCs/>
          <w:sz w:val="24"/>
          <w:szCs w:val="24"/>
          <w:lang w:val="en-US"/>
        </w:rPr>
        <w:t>pentru</w:t>
      </w:r>
      <w:r>
        <w:rPr>
          <w:rFonts w:hint="default" w:ascii="Trebuchet MS" w:hAnsi="Trebuchet MS" w:cs="Trebuchet MS"/>
          <w:b/>
          <w:bCs/>
          <w:sz w:val="24"/>
          <w:szCs w:val="24"/>
          <w:lang w:val="pt-BR"/>
        </w:rPr>
        <w:t xml:space="preserve"> proiect</w:t>
      </w:r>
      <w:r>
        <w:rPr>
          <w:rFonts w:hint="default" w:ascii="Trebuchet MS" w:hAnsi="Trebuchet MS" w:cs="Trebuchet MS"/>
          <w:b/>
          <w:bCs/>
          <w:sz w:val="24"/>
          <w:szCs w:val="24"/>
          <w:lang w:val="en-US"/>
        </w:rPr>
        <w:t>ul</w:t>
      </w:r>
      <w:r>
        <w:rPr>
          <w:rFonts w:hint="default" w:ascii="Trebuchet MS" w:hAnsi="Trebuchet MS" w:cs="Trebuchet MS"/>
          <w:b/>
          <w:bCs/>
          <w:sz w:val="24"/>
          <w:szCs w:val="24"/>
          <w:lang w:val="pt-BR"/>
        </w:rPr>
        <w:t xml:space="preserve"> de </w:t>
      </w:r>
      <w:r>
        <w:rPr>
          <w:rFonts w:hint="default" w:ascii="Trebuchet MS" w:hAnsi="Trebuchet MS" w:cs="Trebuchet MS"/>
          <w:b/>
          <w:bCs/>
          <w:sz w:val="24"/>
          <w:szCs w:val="24"/>
          <w:lang w:val="ro-RO"/>
        </w:rPr>
        <w:t>Or</w:t>
      </w:r>
      <w:r>
        <w:rPr>
          <w:rFonts w:hint="default" w:ascii="Trebuchet MS" w:hAnsi="Trebuchet MS" w:cs="Trebuchet MS"/>
          <w:b/>
          <w:bCs/>
          <w:sz w:val="24"/>
          <w:szCs w:val="24"/>
          <w:lang w:val="pt-BR"/>
        </w:rPr>
        <w:t xml:space="preserve">din </w:t>
      </w:r>
      <w:r>
        <w:rPr>
          <w:rFonts w:hint="default" w:ascii="Trebuchet MS" w:hAnsi="Trebuchet MS" w:cs="Trebuchet MS"/>
          <w:b/>
          <w:bCs/>
          <w:sz w:val="24"/>
          <w:szCs w:val="24"/>
          <w:lang w:val="en-US"/>
        </w:rPr>
        <w:t xml:space="preserve"> </w:t>
      </w:r>
      <w:r>
        <w:rPr>
          <w:rFonts w:hint="default" w:ascii="Trebuchet MS" w:hAnsi="Trebuchet MS"/>
          <w:b/>
          <w:bCs/>
          <w:sz w:val="24"/>
          <w:szCs w:val="24"/>
          <w:lang w:val="en-US"/>
        </w:rPr>
        <w:t>pentru aprobar</w:t>
      </w:r>
      <w:bookmarkStart w:id="0" w:name="_GoBack"/>
      <w:bookmarkEnd w:id="0"/>
      <w:r>
        <w:rPr>
          <w:rFonts w:hint="default" w:ascii="Trebuchet MS" w:hAnsi="Trebuchet MS"/>
          <w:b/>
          <w:bCs/>
          <w:sz w:val="24"/>
          <w:szCs w:val="24"/>
          <w:lang w:val="en-US"/>
        </w:rPr>
        <w:t>ea Procedurii privind stabilirea din oficiu a taxei pe valoarea adăugate datorate de către persoanele impozabile care nu au depus decontulde taxă pe valoarea adăugată (300),</w:t>
      </w:r>
      <w:r>
        <w:rPr>
          <w:rFonts w:hint="default" w:ascii="Trebuchet MS" w:hAnsi="Trebuchet MS"/>
          <w:b/>
          <w:bCs/>
          <w:sz w:val="24"/>
          <w:szCs w:val="24"/>
          <w:lang w:val="ro-RO"/>
        </w:rPr>
        <w:t xml:space="preserve"> </w:t>
      </w:r>
      <w:r>
        <w:rPr>
          <w:rFonts w:hint="default" w:ascii="Trebuchet MS" w:hAnsi="Trebuchet MS"/>
          <w:b/>
          <w:bCs/>
          <w:sz w:val="24"/>
          <w:szCs w:val="24"/>
          <w:lang w:val="en-US"/>
        </w:rPr>
        <w:t>precum şi a modelului şi</w:t>
      </w:r>
      <w:r>
        <w:rPr>
          <w:rFonts w:hint="default" w:ascii="Trebuchet MS" w:hAnsi="Trebuchet MS"/>
          <w:b/>
          <w:bCs/>
          <w:sz w:val="24"/>
          <w:szCs w:val="24"/>
          <w:lang w:val="ro-RO"/>
        </w:rPr>
        <w:t xml:space="preserve"> </w:t>
      </w:r>
      <w:r>
        <w:rPr>
          <w:rFonts w:hint="default" w:ascii="Trebuchet MS" w:hAnsi="Trebuchet MS"/>
          <w:b/>
          <w:bCs/>
          <w:sz w:val="24"/>
          <w:szCs w:val="24"/>
          <w:lang w:val="en-US"/>
        </w:rPr>
        <w:t>conţinutului unor formulare</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bCs/>
          <w:color w:val="auto"/>
          <w:sz w:val="24"/>
          <w:szCs w:val="24"/>
          <w:u w:val="none"/>
          <w:lang w:val="ro-RO"/>
        </w:rPr>
      </w:pPr>
      <w:r>
        <w:rPr>
          <w:rFonts w:hint="default" w:ascii="Trebuchet MS" w:hAnsi="Trebuchet MS" w:cs="Trebuchet MS"/>
          <w:bCs/>
          <w:color w:val="auto"/>
          <w:sz w:val="24"/>
          <w:szCs w:val="24"/>
          <w:u w:val="none"/>
          <w:lang w:val="ro-RO"/>
        </w:rPr>
        <w:t>Potrivit dispozițiilor art.323 alin.(1) din Legea nr.227/2015 privind Codul fiscal, cu modificările și completările ulterioare, p</w:t>
      </w:r>
      <w:r>
        <w:rPr>
          <w:rFonts w:hint="default" w:ascii="Trebuchet MS" w:hAnsi="Trebuchet MS" w:cs="Trebuchet MS"/>
          <w:bCs/>
          <w:color w:val="auto"/>
          <w:sz w:val="24"/>
          <w:szCs w:val="24"/>
          <w:u w:val="none"/>
          <w:lang w:val="en-US"/>
        </w:rPr>
        <w:t xml:space="preserve">ersoanele înregistrate </w:t>
      </w:r>
      <w:r>
        <w:rPr>
          <w:rFonts w:hint="default" w:ascii="Trebuchet MS" w:hAnsi="Trebuchet MS" w:cs="Trebuchet MS"/>
          <w:bCs/>
          <w:color w:val="auto"/>
          <w:sz w:val="24"/>
          <w:szCs w:val="24"/>
          <w:u w:val="none"/>
          <w:lang w:val="ro-RO"/>
        </w:rPr>
        <w:t xml:space="preserve">în scopuri de TVA </w:t>
      </w:r>
      <w:r>
        <w:rPr>
          <w:rFonts w:hint="default" w:ascii="Trebuchet MS" w:hAnsi="Trebuchet MS" w:cs="Trebuchet MS"/>
          <w:bCs/>
          <w:color w:val="auto"/>
          <w:sz w:val="24"/>
          <w:szCs w:val="24"/>
          <w:u w:val="none"/>
          <w:lang w:val="en-US"/>
        </w:rPr>
        <w:t xml:space="preserve">conform art.316 </w:t>
      </w:r>
      <w:r>
        <w:rPr>
          <w:rFonts w:hint="default" w:ascii="Trebuchet MS" w:hAnsi="Trebuchet MS" w:cs="Trebuchet MS"/>
          <w:bCs/>
          <w:color w:val="auto"/>
          <w:sz w:val="24"/>
          <w:szCs w:val="24"/>
          <w:u w:val="none"/>
          <w:lang w:val="ro-RO"/>
        </w:rPr>
        <w:t xml:space="preserve">din Codul fiscal </w:t>
      </w:r>
      <w:r>
        <w:rPr>
          <w:rFonts w:hint="default" w:ascii="Trebuchet MS" w:hAnsi="Trebuchet MS" w:cs="Trebuchet MS"/>
          <w:bCs/>
          <w:color w:val="auto"/>
          <w:sz w:val="24"/>
          <w:szCs w:val="24"/>
          <w:u w:val="none"/>
          <w:lang w:val="en-US"/>
        </w:rPr>
        <w:t>trebuie să depună la organele fiscale competente, pentru fiecare perioadă fiscală, un decont de taxă, până la data de 25 inclusiv a lunii următoare celei în care se încheie perioada fiscală respectivă.</w:t>
      </w:r>
      <w:r>
        <w:rPr>
          <w:rFonts w:hint="default" w:ascii="Trebuchet MS" w:hAnsi="Trebuchet MS" w:cs="Trebuchet MS"/>
          <w:bCs/>
          <w:color w:val="auto"/>
          <w:sz w:val="24"/>
          <w:szCs w:val="24"/>
          <w:u w:val="none"/>
          <w:lang w:val="ro-RO"/>
        </w:rPr>
        <w:t xml:space="preserve"> </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bCs/>
          <w:color w:val="auto"/>
          <w:sz w:val="24"/>
          <w:szCs w:val="24"/>
          <w:u w:val="none"/>
          <w:lang w:val="ro-RO"/>
        </w:rPr>
      </w:pPr>
      <w:r>
        <w:rPr>
          <w:rFonts w:hint="default" w:ascii="Trebuchet MS" w:hAnsi="Trebuchet MS" w:cs="Trebuchet MS"/>
          <w:bCs/>
          <w:color w:val="auto"/>
          <w:sz w:val="24"/>
          <w:szCs w:val="24"/>
          <w:u w:val="none"/>
          <w:lang w:val="ro-RO"/>
        </w:rPr>
        <w:t>Potrivit art.107 alin.(1) din Legea nr.207/2015 privind Codul de procedură fiscală, cu modificările și completările ulterioare, n</w:t>
      </w:r>
      <w:r>
        <w:rPr>
          <w:rFonts w:hint="default" w:ascii="Trebuchet MS" w:hAnsi="Trebuchet MS" w:cs="Trebuchet MS"/>
          <w:bCs/>
          <w:color w:val="auto"/>
          <w:sz w:val="24"/>
          <w:szCs w:val="24"/>
          <w:u w:val="none"/>
          <w:lang w:val="en-US"/>
        </w:rPr>
        <w:t>edepunerea declarației de impunere dă dreptul organului fiscal să procedeze la stabilirea din oficiu a creanțelor fiscale prin decizie de impunere. Stabilirea din oficiu nu se poate face înainte de împlinirea unui termen de 15 zile de la înștiințarea contribuabilului/plătitorului privind depășirea termenului legal de depunere a declarației de impunere</w:t>
      </w:r>
      <w:r>
        <w:rPr>
          <w:rFonts w:hint="default" w:ascii="Trebuchet MS" w:hAnsi="Trebuchet MS" w:cs="Trebuchet MS"/>
          <w:bCs/>
          <w:color w:val="auto"/>
          <w:sz w:val="24"/>
          <w:szCs w:val="24"/>
          <w:u w:val="none"/>
          <w:lang w:val="ro-RO"/>
        </w:rPr>
        <w:t>.</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bCs/>
          <w:color w:val="auto"/>
          <w:sz w:val="24"/>
          <w:szCs w:val="24"/>
          <w:u w:val="none"/>
          <w:lang w:val="ro-RO"/>
        </w:rPr>
      </w:pPr>
      <w:r>
        <w:rPr>
          <w:rFonts w:hint="default" w:ascii="Trebuchet MS" w:hAnsi="Trebuchet MS" w:cs="Trebuchet MS"/>
          <w:bCs/>
          <w:color w:val="auto"/>
          <w:sz w:val="24"/>
          <w:szCs w:val="24"/>
          <w:u w:val="none"/>
          <w:lang w:val="ro-RO"/>
        </w:rPr>
        <w:t xml:space="preserve">În prezent, pentru persoanele impozabile înregistrate în scopuri de TVA care nu-și îndeplinesc obligația de depunere a decontului de taxă pe valoarea adăugată, organele fiscale </w:t>
      </w:r>
      <w:r>
        <w:rPr>
          <w:rFonts w:hint="default" w:ascii="Trebuchet MS" w:hAnsi="Trebuchet MS" w:cs="Trebuchet MS"/>
          <w:bCs/>
          <w:color w:val="auto"/>
          <w:sz w:val="24"/>
          <w:szCs w:val="24"/>
          <w:u w:val="none"/>
          <w:lang w:val="en-US"/>
        </w:rPr>
        <w:t>stabile</w:t>
      </w:r>
      <w:r>
        <w:rPr>
          <w:rFonts w:hint="default" w:ascii="Trebuchet MS" w:hAnsi="Trebuchet MS" w:cs="Trebuchet MS"/>
          <w:bCs/>
          <w:color w:val="auto"/>
          <w:sz w:val="24"/>
          <w:szCs w:val="24"/>
          <w:u w:val="none"/>
          <w:lang w:val="ro-RO"/>
        </w:rPr>
        <w:t>sc</w:t>
      </w:r>
      <w:r>
        <w:rPr>
          <w:rFonts w:hint="default" w:ascii="Trebuchet MS" w:hAnsi="Trebuchet MS" w:cs="Trebuchet MS"/>
          <w:bCs/>
          <w:color w:val="auto"/>
          <w:sz w:val="24"/>
          <w:szCs w:val="24"/>
          <w:u w:val="none"/>
          <w:lang w:val="en-US"/>
        </w:rPr>
        <w:t xml:space="preserve"> din oficiu taxa pe valoarea adăugată de plată în perioad</w:t>
      </w:r>
      <w:r>
        <w:rPr>
          <w:rFonts w:hint="default" w:ascii="Trebuchet MS" w:hAnsi="Trebuchet MS" w:cs="Trebuchet MS"/>
          <w:bCs/>
          <w:color w:val="auto"/>
          <w:sz w:val="24"/>
          <w:szCs w:val="24"/>
          <w:u w:val="none"/>
          <w:lang w:val="ro-RO"/>
        </w:rPr>
        <w:t>a de raportare</w:t>
      </w:r>
      <w:r>
        <w:rPr>
          <w:rFonts w:hint="default" w:ascii="Trebuchet MS" w:hAnsi="Trebuchet MS" w:cs="Trebuchet MS"/>
          <w:bCs/>
          <w:color w:val="auto"/>
          <w:sz w:val="24"/>
          <w:szCs w:val="24"/>
          <w:u w:val="none"/>
          <w:lang w:val="en-US"/>
        </w:rPr>
        <w:t>, prin estimare</w:t>
      </w:r>
      <w:r>
        <w:rPr>
          <w:rFonts w:hint="default" w:ascii="Trebuchet MS" w:hAnsi="Trebuchet MS" w:cs="Trebuchet MS"/>
          <w:bCs/>
          <w:color w:val="auto"/>
          <w:sz w:val="24"/>
          <w:szCs w:val="24"/>
          <w:u w:val="none"/>
          <w:lang w:val="ro-RO"/>
        </w:rPr>
        <w:t xml:space="preserve">, potrivit procedurii aprobate prin </w:t>
      </w:r>
      <w:r>
        <w:rPr>
          <w:rFonts w:hint="default" w:ascii="Trebuchet MS" w:hAnsi="Trebuchet MS" w:cs="Trebuchet MS"/>
          <w:bCs/>
          <w:i/>
          <w:iCs/>
          <w:color w:val="auto"/>
          <w:sz w:val="24"/>
          <w:szCs w:val="24"/>
          <w:u w:val="none"/>
          <w:lang w:val="ro-RO"/>
        </w:rPr>
        <w:t>Ordinul președintelui Agenției Naționale de Administrare Fiscală nr.</w:t>
      </w:r>
      <w:r>
        <w:rPr>
          <w:rFonts w:hint="default" w:ascii="Trebuchet MS" w:hAnsi="Trebuchet MS" w:cs="Trebuchet MS"/>
          <w:bCs/>
          <w:i/>
          <w:iCs/>
          <w:color w:val="auto"/>
          <w:sz w:val="24"/>
          <w:szCs w:val="24"/>
          <w:u w:val="none"/>
          <w:lang w:val="en-US"/>
        </w:rPr>
        <w:t>962/2016 pentru aprobarea Procedurii privind stabilirea din oficiu a impozitelor, taxelor şi contribuţiilor cu regim de stabilire prin autoimpunere sau reţinere la sursă</w:t>
      </w:r>
      <w:r>
        <w:rPr>
          <w:rFonts w:hint="default" w:ascii="Trebuchet MS" w:hAnsi="Trebuchet MS" w:cs="Trebuchet MS"/>
          <w:bCs/>
          <w:i/>
          <w:iCs/>
          <w:color w:val="auto"/>
          <w:sz w:val="24"/>
          <w:szCs w:val="24"/>
          <w:u w:val="none"/>
          <w:lang w:val="ro-RO"/>
        </w:rPr>
        <w:t>, cu modificările și completările ulterioare</w:t>
      </w:r>
      <w:r>
        <w:rPr>
          <w:rFonts w:hint="default" w:ascii="Trebuchet MS" w:hAnsi="Trebuchet MS" w:cs="Trebuchet MS"/>
          <w:bCs/>
          <w:color w:val="auto"/>
          <w:sz w:val="24"/>
          <w:szCs w:val="24"/>
          <w:u w:val="none"/>
          <w:lang w:val="ro-RO"/>
        </w:rPr>
        <w:t xml:space="preserve">. </w:t>
      </w:r>
      <w:r>
        <w:rPr>
          <w:rFonts w:hint="default" w:ascii="Trebuchet MS" w:hAnsi="Trebuchet MS" w:cs="Trebuchet MS"/>
          <w:b/>
          <w:bCs w:val="0"/>
          <w:color w:val="auto"/>
          <w:sz w:val="24"/>
          <w:szCs w:val="24"/>
          <w:u w:val="none"/>
          <w:lang w:val="ro-RO"/>
        </w:rPr>
        <w:t>Potrivit acestei proceduri, organele fiscale estimează doar taxa colectată</w:t>
      </w:r>
      <w:r>
        <w:rPr>
          <w:rFonts w:hint="default" w:ascii="Trebuchet MS" w:hAnsi="Trebuchet MS" w:cs="Trebuchet MS"/>
          <w:bCs/>
          <w:color w:val="auto"/>
          <w:sz w:val="24"/>
          <w:szCs w:val="24"/>
          <w:u w:val="none"/>
          <w:lang w:val="ro-RO"/>
        </w:rPr>
        <w:t xml:space="preserve">, </w:t>
      </w:r>
      <w:r>
        <w:rPr>
          <w:rFonts w:hint="default" w:ascii="Trebuchet MS" w:hAnsi="Trebuchet MS" w:cs="Trebuchet MS"/>
          <w:b/>
          <w:bCs w:val="0"/>
          <w:color w:val="auto"/>
          <w:sz w:val="24"/>
          <w:szCs w:val="24"/>
          <w:u w:val="none"/>
          <w:lang w:val="ro-RO"/>
        </w:rPr>
        <w:t>pe baza i</w:t>
      </w:r>
      <w:r>
        <w:rPr>
          <w:rFonts w:hint="default" w:ascii="Trebuchet MS" w:hAnsi="Trebuchet MS" w:cs="Trebuchet MS"/>
          <w:b/>
          <w:bCs w:val="0"/>
          <w:color w:val="auto"/>
          <w:sz w:val="24"/>
          <w:szCs w:val="24"/>
          <w:u w:val="none"/>
          <w:lang w:val="en-US"/>
        </w:rPr>
        <w:t>nformaţiil</w:t>
      </w:r>
      <w:r>
        <w:rPr>
          <w:rFonts w:hint="default" w:ascii="Trebuchet MS" w:hAnsi="Trebuchet MS" w:cs="Trebuchet MS"/>
          <w:b/>
          <w:bCs w:val="0"/>
          <w:color w:val="auto"/>
          <w:sz w:val="24"/>
          <w:szCs w:val="24"/>
          <w:u w:val="none"/>
          <w:lang w:val="ro-RO"/>
        </w:rPr>
        <w:t>or</w:t>
      </w:r>
      <w:r>
        <w:rPr>
          <w:rFonts w:hint="default" w:ascii="Trebuchet MS" w:hAnsi="Trebuchet MS" w:cs="Trebuchet MS"/>
          <w:b/>
          <w:bCs w:val="0"/>
          <w:color w:val="auto"/>
          <w:sz w:val="24"/>
          <w:szCs w:val="24"/>
          <w:u w:val="none"/>
          <w:lang w:val="en-US"/>
        </w:rPr>
        <w:t xml:space="preserve"> din </w:t>
      </w:r>
      <w:r>
        <w:rPr>
          <w:rFonts w:hint="default" w:ascii="Trebuchet MS" w:hAnsi="Trebuchet MS" w:cs="Trebuchet MS"/>
          <w:b/>
          <w:bCs w:val="0"/>
          <w:color w:val="auto"/>
          <w:sz w:val="24"/>
          <w:szCs w:val="24"/>
          <w:u w:val="none"/>
          <w:lang w:val="ro-RO"/>
        </w:rPr>
        <w:t>deconturile de TVA (300)</w:t>
      </w:r>
      <w:r>
        <w:rPr>
          <w:rFonts w:hint="default" w:ascii="Trebuchet MS" w:hAnsi="Trebuchet MS" w:cs="Trebuchet MS"/>
          <w:bCs/>
          <w:color w:val="auto"/>
          <w:sz w:val="24"/>
          <w:szCs w:val="24"/>
          <w:u w:val="none"/>
          <w:lang w:val="ro-RO"/>
        </w:rPr>
        <w:t xml:space="preserve"> depuse de contribuabil </w:t>
      </w:r>
      <w:r>
        <w:rPr>
          <w:rFonts w:hint="default" w:ascii="Trebuchet MS" w:hAnsi="Trebuchet MS" w:cs="Trebuchet MS"/>
          <w:bCs/>
          <w:color w:val="auto"/>
          <w:sz w:val="24"/>
          <w:szCs w:val="24"/>
          <w:u w:val="none"/>
          <w:lang w:val="en-US"/>
        </w:rPr>
        <w:t>pe o perioadă de 12</w:t>
      </w:r>
      <w:r>
        <w:rPr>
          <w:rFonts w:hint="default" w:ascii="Trebuchet MS" w:hAnsi="Trebuchet MS" w:cs="Trebuchet MS"/>
          <w:bCs/>
          <w:color w:val="auto"/>
          <w:sz w:val="24"/>
          <w:szCs w:val="24"/>
          <w:u w:val="none"/>
          <w:lang w:val="ro-RO"/>
        </w:rPr>
        <w:t>/24</w:t>
      </w:r>
      <w:r>
        <w:rPr>
          <w:rFonts w:hint="default" w:ascii="Trebuchet MS" w:hAnsi="Trebuchet MS" w:cs="Trebuchet MS"/>
          <w:bCs/>
          <w:color w:val="auto"/>
          <w:sz w:val="24"/>
          <w:szCs w:val="24"/>
          <w:u w:val="none"/>
          <w:lang w:val="en-US"/>
        </w:rPr>
        <w:t xml:space="preserve"> luni calendaristice anterioare</w:t>
      </w:r>
      <w:r>
        <w:rPr>
          <w:rFonts w:hint="default" w:ascii="Trebuchet MS" w:hAnsi="Trebuchet MS" w:cs="Trebuchet MS"/>
          <w:bCs/>
          <w:color w:val="auto"/>
          <w:sz w:val="24"/>
          <w:szCs w:val="24"/>
          <w:u w:val="none"/>
          <w:lang w:val="ro-RO"/>
        </w:rPr>
        <w:t xml:space="preserve">, </w:t>
      </w:r>
      <w:r>
        <w:rPr>
          <w:rFonts w:hint="default" w:ascii="Trebuchet MS" w:hAnsi="Trebuchet MS" w:cs="Trebuchet MS"/>
          <w:b/>
          <w:bCs w:val="0"/>
          <w:color w:val="auto"/>
          <w:sz w:val="24"/>
          <w:szCs w:val="24"/>
          <w:u w:val="none"/>
          <w:lang w:val="ro-RO"/>
        </w:rPr>
        <w:t xml:space="preserve">din </w:t>
      </w:r>
      <w:r>
        <w:rPr>
          <w:rFonts w:hint="default" w:ascii="Trebuchet MS" w:hAnsi="Trebuchet MS" w:cs="Trebuchet MS"/>
          <w:b/>
          <w:bCs w:val="0"/>
          <w:color w:val="auto"/>
          <w:sz w:val="24"/>
          <w:szCs w:val="24"/>
          <w:u w:val="none"/>
          <w:lang w:val="en-US"/>
        </w:rPr>
        <w:t>Declaraţi</w:t>
      </w:r>
      <w:r>
        <w:rPr>
          <w:rFonts w:hint="default" w:ascii="Trebuchet MS" w:hAnsi="Trebuchet MS" w:cs="Trebuchet MS"/>
          <w:b/>
          <w:bCs w:val="0"/>
          <w:color w:val="auto"/>
          <w:sz w:val="24"/>
          <w:szCs w:val="24"/>
          <w:u w:val="none"/>
          <w:lang w:val="ro-RO"/>
        </w:rPr>
        <w:t>ile</w:t>
      </w:r>
      <w:r>
        <w:rPr>
          <w:rFonts w:hint="default" w:ascii="Trebuchet MS" w:hAnsi="Trebuchet MS" w:cs="Trebuchet MS"/>
          <w:b/>
          <w:bCs w:val="0"/>
          <w:color w:val="auto"/>
          <w:sz w:val="24"/>
          <w:szCs w:val="24"/>
          <w:u w:val="none"/>
          <w:lang w:val="en-US"/>
        </w:rPr>
        <w:t xml:space="preserve"> informativ</w:t>
      </w:r>
      <w:r>
        <w:rPr>
          <w:rFonts w:hint="default" w:ascii="Trebuchet MS" w:hAnsi="Trebuchet MS" w:cs="Trebuchet MS"/>
          <w:b/>
          <w:bCs w:val="0"/>
          <w:color w:val="auto"/>
          <w:sz w:val="24"/>
          <w:szCs w:val="24"/>
          <w:u w:val="none"/>
          <w:lang w:val="ro-RO"/>
        </w:rPr>
        <w:t>e</w:t>
      </w:r>
      <w:r>
        <w:rPr>
          <w:rFonts w:hint="default" w:ascii="Trebuchet MS" w:hAnsi="Trebuchet MS" w:cs="Trebuchet MS"/>
          <w:b/>
          <w:bCs w:val="0"/>
          <w:color w:val="auto"/>
          <w:sz w:val="24"/>
          <w:szCs w:val="24"/>
          <w:u w:val="none"/>
          <w:lang w:val="en-US"/>
        </w:rPr>
        <w:t xml:space="preserve"> privind livrările/</w:t>
      </w:r>
      <w:r>
        <w:rPr>
          <w:rFonts w:hint="default" w:ascii="Trebuchet MS" w:hAnsi="Trebuchet MS" w:cs="Trebuchet MS"/>
          <w:b/>
          <w:bCs w:val="0"/>
          <w:color w:val="auto"/>
          <w:sz w:val="24"/>
          <w:szCs w:val="24"/>
          <w:u w:val="none"/>
          <w:lang w:val="ro-RO"/>
        </w:rPr>
        <w:t xml:space="preserve"> </w:t>
      </w:r>
      <w:r>
        <w:rPr>
          <w:rFonts w:hint="default" w:ascii="Trebuchet MS" w:hAnsi="Trebuchet MS" w:cs="Trebuchet MS"/>
          <w:b/>
          <w:bCs w:val="0"/>
          <w:color w:val="auto"/>
          <w:sz w:val="24"/>
          <w:szCs w:val="24"/>
          <w:u w:val="none"/>
          <w:lang w:val="en-US"/>
        </w:rPr>
        <w:t>prestările şi achiziţiile efectuate pe teritoriul naţional</w:t>
      </w:r>
      <w:r>
        <w:rPr>
          <w:rFonts w:hint="default" w:ascii="Trebuchet MS" w:hAnsi="Trebuchet MS" w:cs="Trebuchet MS"/>
          <w:b/>
          <w:bCs w:val="0"/>
          <w:color w:val="auto"/>
          <w:sz w:val="24"/>
          <w:szCs w:val="24"/>
          <w:u w:val="none"/>
          <w:lang w:val="ro-RO"/>
        </w:rPr>
        <w:t xml:space="preserve"> (394)</w:t>
      </w:r>
      <w:r>
        <w:rPr>
          <w:rFonts w:hint="default" w:ascii="Trebuchet MS" w:hAnsi="Trebuchet MS" w:cs="Trebuchet MS"/>
          <w:bCs/>
          <w:color w:val="auto"/>
          <w:sz w:val="24"/>
          <w:szCs w:val="24"/>
          <w:u w:val="none"/>
          <w:lang w:val="ro-RO"/>
        </w:rPr>
        <w:t xml:space="preserve"> în care contribuabilul/ plătitorul supus acestei proceduri figurează ca furnizor/prestator sau, după caz, din baza de date care cuprinde </w:t>
      </w:r>
      <w:r>
        <w:rPr>
          <w:rFonts w:hint="default" w:ascii="Trebuchet MS" w:hAnsi="Trebuchet MS" w:cs="Trebuchet MS"/>
          <w:b/>
          <w:bCs w:val="0"/>
          <w:color w:val="auto"/>
          <w:sz w:val="24"/>
          <w:szCs w:val="24"/>
          <w:u w:val="none"/>
          <w:lang w:val="ro-RO"/>
        </w:rPr>
        <w:t xml:space="preserve">declaraţiile recapitulative (formularul 390VIES) privind operaţiunile intracomunitare </w:t>
      </w:r>
      <w:r>
        <w:rPr>
          <w:rFonts w:hint="default" w:ascii="Trebuchet MS" w:hAnsi="Trebuchet MS" w:cs="Trebuchet MS"/>
          <w:bCs/>
          <w:color w:val="auto"/>
          <w:sz w:val="24"/>
          <w:szCs w:val="24"/>
          <w:u w:val="none"/>
          <w:lang w:val="ro-RO"/>
        </w:rPr>
        <w:t>desfăşurate pe o perioadă de 24 de luni calendaristice anterioare.</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b w:val="0"/>
          <w:bCs w:val="0"/>
          <w:sz w:val="24"/>
          <w:szCs w:val="24"/>
          <w:lang w:val="ro-RO"/>
        </w:rPr>
      </w:pPr>
      <w:r>
        <w:rPr>
          <w:rFonts w:hint="default" w:ascii="Trebuchet MS" w:hAnsi="Trebuchet MS" w:cs="Trebuchet MS"/>
          <w:bCs/>
          <w:color w:val="auto"/>
          <w:sz w:val="24"/>
          <w:szCs w:val="24"/>
          <w:u w:val="none"/>
          <w:lang w:val="ro-RO"/>
        </w:rPr>
        <w:t xml:space="preserve">Având în vedere operaționalizarea </w:t>
      </w:r>
      <w:r>
        <w:rPr>
          <w:rFonts w:hint="default" w:ascii="Trebuchet MS" w:hAnsi="Trebuchet MS" w:cs="Trebuchet MS"/>
          <w:b/>
          <w:bCs/>
          <w:sz w:val="24"/>
          <w:szCs w:val="24"/>
          <w:lang w:val="ro-RO"/>
        </w:rPr>
        <w:t xml:space="preserve">Sistemului informatic naţional RO e-TVA </w:t>
      </w:r>
      <w:r>
        <w:rPr>
          <w:rFonts w:hint="default" w:ascii="Trebuchet MS" w:hAnsi="Trebuchet MS" w:cs="Trebuchet MS"/>
          <w:sz w:val="24"/>
          <w:szCs w:val="24"/>
          <w:lang w:val="ro-RO"/>
        </w:rPr>
        <w:t xml:space="preserve">cu ajutorul căruia autoritatea fiscală întocmește ”Decontul precompletat RO e-TVA”, utilizând mai multe surse de date, printre care Sistemul naţional privind factura electronică RO e-Factura și Sistemul informatic naţional RO e-Case de marcat electronice, </w:t>
      </w:r>
      <w:r>
        <w:rPr>
          <w:rFonts w:hint="default" w:ascii="Trebuchet MS" w:hAnsi="Trebuchet MS" w:cs="Trebuchet MS"/>
          <w:b/>
          <w:bCs/>
          <w:sz w:val="24"/>
          <w:szCs w:val="24"/>
          <w:lang w:val="ro-RO"/>
        </w:rPr>
        <w:t xml:space="preserve">propunem aprobarea unei noi proceduri de </w:t>
      </w:r>
      <w:r>
        <w:rPr>
          <w:rFonts w:hint="default" w:ascii="Trebuchet MS" w:hAnsi="Trebuchet MS" w:cs="Trebuchet MS"/>
          <w:b/>
          <w:bCs/>
          <w:sz w:val="24"/>
          <w:szCs w:val="24"/>
          <w:lang w:val="pt-BR"/>
        </w:rPr>
        <w:t>stabilire din oficiu a</w:t>
      </w:r>
      <w:r>
        <w:rPr>
          <w:rFonts w:hint="default" w:ascii="Trebuchet MS" w:hAnsi="Trebuchet MS" w:cs="Trebuchet MS"/>
          <w:b/>
          <w:bCs/>
          <w:sz w:val="24"/>
          <w:szCs w:val="24"/>
          <w:lang w:val="ro-RO"/>
        </w:rPr>
        <w:t xml:space="preserve"> </w:t>
      </w:r>
      <w:r>
        <w:rPr>
          <w:rFonts w:hint="default" w:ascii="Trebuchet MS" w:hAnsi="Trebuchet MS" w:cs="Trebuchet MS"/>
          <w:b/>
          <w:bCs/>
          <w:sz w:val="24"/>
          <w:szCs w:val="24"/>
          <w:lang w:val="pt-BR"/>
        </w:rPr>
        <w:t>taxei pe valoarea adăugate datorate de către persoanele impozabile care nu au depus decontul de taxă pe valoarea adăugată (300)</w:t>
      </w:r>
      <w:r>
        <w:rPr>
          <w:rFonts w:hint="default" w:ascii="Trebuchet MS" w:hAnsi="Trebuchet MS" w:cs="Trebuchet MS"/>
          <w:b w:val="0"/>
          <w:bCs w:val="0"/>
          <w:sz w:val="24"/>
          <w:szCs w:val="24"/>
          <w:lang w:val="ro-RO"/>
        </w:rPr>
        <w:t>.</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eastAsia="Times New Roman CE" w:cs="Trebuchet MS"/>
          <w:color w:val="auto"/>
          <w:sz w:val="24"/>
          <w:szCs w:val="24"/>
          <w:lang w:val="ro-RO"/>
        </w:rPr>
      </w:pPr>
      <w:r>
        <w:rPr>
          <w:rFonts w:hint="default" w:ascii="Trebuchet MS" w:hAnsi="Trebuchet MS" w:eastAsia="Times New Roman CE" w:cs="Trebuchet MS"/>
          <w:color w:val="auto"/>
          <w:sz w:val="24"/>
          <w:szCs w:val="24"/>
          <w:lang w:val="ro-RO"/>
        </w:rPr>
        <w:t>Procedură se va aplica, lunar, pentru toți contribuabilii care nu și-au îndeplinit obligația de depunere a decontului de TVA, după expirarea termenului legal de depunere al decontului de TVA.</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eastAsia="Times New Roman CE" w:cs="Trebuchet MS"/>
          <w:color w:val="auto"/>
          <w:sz w:val="24"/>
          <w:szCs w:val="24"/>
          <w:lang w:val="ro-RO"/>
        </w:rPr>
      </w:pPr>
      <w:r>
        <w:rPr>
          <w:rFonts w:hint="default" w:ascii="Trebuchet MS" w:hAnsi="Trebuchet MS" w:cs="Trebuchet MS"/>
          <w:b w:val="0"/>
          <w:bCs w:val="0"/>
          <w:sz w:val="24"/>
          <w:szCs w:val="24"/>
          <w:lang w:val="ro-RO"/>
        </w:rPr>
        <w:t>Potrivit noii proceduri, organele fiscale vor estima, pentru fiecare perioadă fiscală pentru care nu a fost depus decontul de taxă pe valoarea adăugată, totalul taxei colectate în perioada respectivă (respectiv totalul sumelor reprezentând TVA înscrise în formularul "Decont precompletat RO e-TVA" sau extrase din Sistemele naţionale privind factura electronică RO e-Factura, RO e-Case de marcat electronice și din alte informații existente în evidențele fiscale</w:t>
      </w:r>
      <w:r>
        <w:rPr>
          <w:rFonts w:hint="default" w:ascii="Trebuchet MS" w:hAnsi="Trebuchet MS" w:cs="Trebuchet MS"/>
          <w:b w:val="0"/>
          <w:bCs w:val="0"/>
          <w:sz w:val="24"/>
          <w:szCs w:val="24"/>
          <w:lang w:val="en-US"/>
        </w:rPr>
        <w:t>).</w:t>
      </w:r>
      <w:r>
        <w:rPr>
          <w:rFonts w:hint="default" w:ascii="Trebuchet MS" w:hAnsi="Trebuchet MS" w:cs="Trebuchet MS"/>
          <w:b w:val="0"/>
          <w:bCs w:val="0"/>
          <w:sz w:val="24"/>
          <w:szCs w:val="24"/>
          <w:lang w:val="ro-RO"/>
        </w:rPr>
        <w:t xml:space="preserve"> </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sz w:val="24"/>
          <w:szCs w:val="24"/>
          <w:u w:val="none"/>
          <w:lang w:val="ro-RO"/>
        </w:rPr>
      </w:pPr>
      <w:r>
        <w:rPr>
          <w:rFonts w:hint="default" w:ascii="Trebuchet MS" w:hAnsi="Trebuchet MS" w:eastAsia="Times New Roman CE" w:cs="Trebuchet MS"/>
          <w:color w:val="auto"/>
          <w:sz w:val="24"/>
          <w:szCs w:val="24"/>
          <w:lang w:val="ro-RO"/>
        </w:rPr>
        <w:t xml:space="preserve">Referitor la estimarea taxei pe valoarea adăugată care poate fi dedusă, </w:t>
      </w:r>
      <w:r>
        <w:rPr>
          <w:rFonts w:hint="default" w:ascii="Trebuchet MS" w:hAnsi="Trebuchet MS" w:cs="Trebuchet MS"/>
          <w:i/>
          <w:iCs/>
          <w:sz w:val="24"/>
          <w:szCs w:val="24"/>
          <w:lang w:val="ro-RO"/>
        </w:rPr>
        <w:t>organele fiscale nu dețin informații privind destinația/utilizarea bunurilor achiziționate de contribuabili, prin urmare nu pot estima sumele pentru care persoanele impozabile și-ar exercita efectiv dreptul de deducere, din totalul taxei deductibile.</w:t>
      </w:r>
      <w:r>
        <w:rPr>
          <w:rFonts w:hint="default" w:ascii="Trebuchet MS" w:hAnsi="Trebuchet MS" w:cs="Trebuchet MS"/>
          <w:sz w:val="24"/>
          <w:szCs w:val="24"/>
          <w:lang w:val="ro-RO"/>
        </w:rPr>
        <w:t xml:space="preserve"> În plus, </w:t>
      </w:r>
      <w:r>
        <w:rPr>
          <w:rFonts w:hint="default" w:ascii="Trebuchet MS" w:hAnsi="Trebuchet MS" w:eastAsia="Times New Roman CE" w:cs="Trebuchet MS"/>
          <w:color w:val="auto"/>
          <w:sz w:val="24"/>
          <w:szCs w:val="24"/>
          <w:u w:val="none"/>
          <w:lang w:val="ro-RO"/>
        </w:rPr>
        <w:t>potrivit art.300 din Codul fiscal, t</w:t>
      </w:r>
      <w:r>
        <w:rPr>
          <w:rFonts w:hint="default" w:ascii="Trebuchet MS" w:hAnsi="Trebuchet MS" w:cs="Trebuchet MS"/>
          <w:sz w:val="24"/>
          <w:szCs w:val="24"/>
          <w:u w:val="none"/>
          <w:lang w:val="ro-RO"/>
        </w:rPr>
        <w:t xml:space="preserve">axa aferentă achizițiilor pentru care nu se cunoaște destinația, respectiv dacă vor fi utilizate pentru realizarea de operațiuni care dau drept de deducere sau pentru operațiuni care nu dau drept de deducere, ori pentru care nu se poate determina proporția în care sunt sau vor fi utilizate pentru operațiuni care dau drept de deducere și operațiuni care nu dau drept de deducere, se deduce pe bază de pro rata. </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sz w:val="24"/>
          <w:szCs w:val="24"/>
          <w:lang w:val="ro-RO"/>
        </w:rPr>
      </w:pPr>
      <w:r>
        <w:rPr>
          <w:rFonts w:hint="default" w:ascii="Trebuchet MS" w:hAnsi="Trebuchet MS" w:cs="Trebuchet MS"/>
          <w:sz w:val="24"/>
          <w:szCs w:val="24"/>
          <w:u w:val="none"/>
          <w:lang w:val="ro-RO"/>
        </w:rPr>
        <w:t xml:space="preserve">De asemenea, potrivit art.298 din Codul fiscal, </w:t>
      </w:r>
      <w:r>
        <w:rPr>
          <w:rFonts w:hint="default" w:ascii="Trebuchet MS" w:hAnsi="Trebuchet MS"/>
          <w:sz w:val="24"/>
          <w:szCs w:val="24"/>
          <w:u w:val="none"/>
          <w:lang w:val="ro-RO"/>
        </w:rPr>
        <w:t xml:space="preserve">se limitează la 50% dreptul de deducere a </w:t>
      </w:r>
      <w:r>
        <w:rPr>
          <w:rFonts w:hint="default" w:ascii="Trebuchet MS" w:hAnsi="Trebuchet MS"/>
          <w:sz w:val="24"/>
          <w:szCs w:val="24"/>
          <w:lang w:val="ro-RO"/>
        </w:rPr>
        <w:t>taxei aferente cumpărării, achiziției intracomunitare, importului, închirierii sau leasingului de vehicule rutiere motorizate și a taxei aferente cheltuielilor legate de vehiculele aflate în proprietatea sau în folosința persoanei impozabile, în cazul în care vehiculele nu sunt utilizate exclusiv în scopul activității economice.</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sz w:val="24"/>
          <w:szCs w:val="24"/>
          <w:lang w:val="ro-RO"/>
        </w:rPr>
      </w:pPr>
      <w:r>
        <w:rPr>
          <w:rFonts w:hint="default" w:ascii="Trebuchet MS" w:hAnsi="Trebuchet MS" w:cs="Trebuchet MS"/>
          <w:sz w:val="24"/>
          <w:szCs w:val="24"/>
          <w:lang w:val="ro-RO"/>
        </w:rPr>
        <w:t>Ca urmare, prin proiect se propune ca, în scopul impunerii din oficiu a taxei pe valoarea adăugată datorată, să fie considerată ca TVA dedusă, 50% din totalul taxei deductibile.</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sz w:val="24"/>
          <w:szCs w:val="24"/>
          <w:lang w:val="ro-RO"/>
        </w:rPr>
      </w:pPr>
      <w:r>
        <w:rPr>
          <w:rFonts w:hint="default" w:ascii="Trebuchet MS" w:hAnsi="Trebuchet MS" w:cs="Trebuchet MS"/>
          <w:sz w:val="24"/>
          <w:szCs w:val="24"/>
          <w:lang w:val="ro-RO"/>
        </w:rPr>
        <w:t xml:space="preserve">Organul fiscal va emite decizia de impunere din oficiu și va stabili TVA datorată doar dacă diferența dintre totalul taxei colectate și totalul taxei deduse depășește 20 de lei. În acest sens, menționăm că potrivit art.96 alin.(2) din Codul de procedură fiscală, organul fiscal central renunță la stabilirea creanței fiscale și nu emite decizie de impunere în situația în care creanța fiscală principală este mai mică de 20 de lei. </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bCs/>
          <w:color w:val="auto"/>
          <w:sz w:val="24"/>
          <w:szCs w:val="24"/>
          <w:u w:val="none"/>
          <w:lang w:val="ro-RO"/>
        </w:rPr>
      </w:pPr>
      <w:r>
        <w:rPr>
          <w:rFonts w:hint="default" w:ascii="Trebuchet MS" w:hAnsi="Trebuchet MS" w:cs="Trebuchet MS"/>
          <w:bCs/>
          <w:color w:val="auto"/>
          <w:sz w:val="24"/>
          <w:szCs w:val="24"/>
          <w:u w:val="none"/>
          <w:lang w:val="ro-RO"/>
        </w:rPr>
        <w:t>Având în vedere dispozițiile art.9 din Codul de procedură fiscală, prin această procedură se stabilește și fluxul procedural pentru exercitarea dreptului de a fi ascultat, de către contribuabilii care nu și-au depus decontul de taxă (300) și pentru care organele fiscale urmează să emită decizia de stabilire din oficiu a taxei pe valoarea adăugată datorată.</w:t>
      </w:r>
    </w:p>
    <w:p>
      <w:pPr>
        <w:pStyle w:val="5"/>
        <w:keepNext w:val="0"/>
        <w:keepLines w:val="0"/>
        <w:pageBreakBefore w:val="0"/>
        <w:widowControl/>
        <w:kinsoku/>
        <w:wordWrap/>
        <w:overflowPunct/>
        <w:topLinePunct w:val="0"/>
        <w:autoSpaceDE/>
        <w:autoSpaceDN/>
        <w:bidi w:val="0"/>
        <w:adjustRightInd/>
        <w:snapToGrid/>
        <w:spacing w:before="181" w:beforeLines="50" w:after="0" w:line="240" w:lineRule="auto"/>
        <w:jc w:val="both"/>
        <w:textAlignment w:val="auto"/>
        <w:outlineLvl w:val="9"/>
        <w:rPr>
          <w:rFonts w:hint="default" w:ascii="Trebuchet MS" w:hAnsi="Trebuchet MS" w:cs="Trebuchet MS"/>
          <w:bCs/>
          <w:color w:val="auto"/>
          <w:sz w:val="24"/>
          <w:szCs w:val="24"/>
          <w:u w:val="none"/>
          <w:lang w:val="ro-RO"/>
        </w:rPr>
      </w:pPr>
      <w:r>
        <w:rPr>
          <w:rFonts w:hint="default" w:ascii="Trebuchet MS" w:hAnsi="Trebuchet MS" w:cs="Trebuchet MS"/>
          <w:bCs/>
          <w:color w:val="auto"/>
          <w:sz w:val="24"/>
          <w:szCs w:val="24"/>
          <w:u w:val="none"/>
          <w:lang w:val="ro-RO"/>
        </w:rPr>
        <w:t xml:space="preserve">Întrucât potrivit art.110 din </w:t>
      </w:r>
      <w:r>
        <w:rPr>
          <w:rFonts w:hint="default" w:ascii="Trebuchet MS" w:hAnsi="Trebuchet MS" w:eastAsia="Times New Roman CE" w:cs="Trebuchet MS"/>
          <w:color w:val="auto"/>
          <w:sz w:val="24"/>
          <w:szCs w:val="24"/>
          <w:lang w:val="en-US"/>
        </w:rPr>
        <w:t>L</w:t>
      </w:r>
      <w:r>
        <w:rPr>
          <w:rFonts w:hint="default" w:ascii="Trebuchet MS" w:hAnsi="Trebuchet MS" w:eastAsia="Times New Roman CE" w:cs="Trebuchet MS"/>
          <w:color w:val="auto"/>
          <w:sz w:val="24"/>
          <w:szCs w:val="24"/>
          <w:lang w:val="ro-RO"/>
        </w:rPr>
        <w:t>egea</w:t>
      </w:r>
      <w:r>
        <w:rPr>
          <w:rFonts w:hint="default" w:ascii="Trebuchet MS" w:hAnsi="Trebuchet MS" w:eastAsia="Times New Roman CE" w:cs="Trebuchet MS"/>
          <w:color w:val="auto"/>
          <w:sz w:val="24"/>
          <w:szCs w:val="24"/>
          <w:lang w:val="en-US"/>
        </w:rPr>
        <w:t xml:space="preserve"> </w:t>
      </w:r>
      <w:r>
        <w:rPr>
          <w:rFonts w:hint="default" w:ascii="Trebuchet MS" w:hAnsi="Trebuchet MS" w:eastAsia="Times New Roman CE" w:cs="Trebuchet MS"/>
          <w:color w:val="auto"/>
          <w:sz w:val="24"/>
          <w:szCs w:val="24"/>
          <w:lang w:val="ro-RO"/>
        </w:rPr>
        <w:t>n</w:t>
      </w:r>
      <w:r>
        <w:rPr>
          <w:rFonts w:hint="default" w:ascii="Trebuchet MS" w:hAnsi="Trebuchet MS" w:eastAsia="Times New Roman CE" w:cs="Trebuchet MS"/>
          <w:color w:val="auto"/>
          <w:sz w:val="24"/>
          <w:szCs w:val="24"/>
          <w:lang w:val="en-US"/>
        </w:rPr>
        <w:t xml:space="preserve">r.207/2015 </w:t>
      </w:r>
      <w:r>
        <w:rPr>
          <w:rFonts w:hint="default" w:ascii="Trebuchet MS" w:hAnsi="Trebuchet MS" w:eastAsia="Times New Roman CE" w:cs="Trebuchet MS"/>
          <w:color w:val="auto"/>
          <w:sz w:val="24"/>
          <w:szCs w:val="24"/>
          <w:lang w:val="ro-RO"/>
        </w:rPr>
        <w:t>p</w:t>
      </w:r>
      <w:r>
        <w:rPr>
          <w:rFonts w:hint="default" w:ascii="Trebuchet MS" w:hAnsi="Trebuchet MS" w:eastAsia="Times New Roman CE" w:cs="Trebuchet MS"/>
          <w:color w:val="auto"/>
          <w:sz w:val="24"/>
          <w:szCs w:val="24"/>
          <w:lang w:val="en-US"/>
        </w:rPr>
        <w:t>rivind Codul de procedură fiscală</w:t>
      </w:r>
      <w:r>
        <w:rPr>
          <w:rFonts w:hint="default" w:ascii="Trebuchet MS" w:hAnsi="Trebuchet MS" w:eastAsia="Times New Roman CE" w:cs="Trebuchet MS"/>
          <w:color w:val="auto"/>
          <w:sz w:val="24"/>
          <w:szCs w:val="24"/>
          <w:lang w:val="ro-RO"/>
        </w:rPr>
        <w:t>, cu modificările şi completările ulterioare, dreptul organului fiscal de a stabili creanțe fiscale se prescrie în termen de 5 ani, cu excepția cazului în care prin lege se dispune altfel, și având în vedere că faptul că stabilirea din oficiu a creanțelor fiscale se face de organul fiscal pentru perioade fiscale anterioare, propunem ca această nouă procedură să vizeze perioade fiscale începând cu operaționalizarea Sistemului informatic naţional RO e-TVA, respectiv iulie 2024.</w:t>
      </w:r>
    </w:p>
    <w:sectPr>
      <w:headerReference r:id="rId5" w:type="default"/>
      <w:footerReference r:id="rId6" w:type="default"/>
      <w:pgSz w:w="11906" w:h="16838"/>
      <w:pgMar w:top="446" w:right="991" w:bottom="418" w:left="1267" w:header="0" w:footer="280" w:gutter="0"/>
      <w:cols w:space="0" w:num="1"/>
      <w:formProt w:val="0"/>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EE"/>
    <w:family w:val="swiss"/>
    <w:pitch w:val="default"/>
    <w:sig w:usb0="E1002EFF" w:usb1="C000605B" w:usb2="00000029" w:usb3="00000000" w:csb0="200101FF" w:csb1="20280000"/>
  </w:font>
  <w:font w:name="Liberation Sans">
    <w:panose1 w:val="020B0604020202020204"/>
    <w:charset w:val="EE"/>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EE"/>
    <w:family w:val="swiss"/>
    <w:pitch w:val="default"/>
    <w:sig w:usb0="00000687" w:usb1="00000000" w:usb2="00000000" w:usb3="00000000" w:csb0="2000009F" w:csb1="00000000"/>
  </w:font>
  <w:font w:name="Times New Roman CE">
    <w:altName w:val="Times New Roman"/>
    <w:panose1 w:val="00000000000000000000"/>
    <w:charset w:val="EE"/>
    <w:family w:val="auto"/>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2104826"/>
    </w:sdtPr>
    <w:sdtContent>
      <w:p>
        <w:pPr>
          <w:pStyle w:val="10"/>
          <w:jc w:val="right"/>
        </w:pPr>
        <w:r>
          <w:t xml:space="preserve">Page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1</w:t>
        </w:r>
        <w:r>
          <w:rPr>
            <w:bCs/>
            <w:sz w:val="24"/>
            <w:szCs w:val="24"/>
          </w:rPr>
          <w:fldChar w:fldCharType="end"/>
        </w:r>
        <w:r>
          <w:rPr>
            <w:bCs/>
            <w:sz w:val="24"/>
            <w:szCs w:val="24"/>
          </w:rPr>
          <w:t>/</w:t>
        </w:r>
        <w:r>
          <w:rPr>
            <w:bCs/>
            <w:sz w:val="24"/>
            <w:szCs w:val="24"/>
          </w:rPr>
          <w:fldChar w:fldCharType="begin"/>
        </w:r>
        <w:r>
          <w:rPr>
            <w:bCs/>
            <w:sz w:val="24"/>
            <w:szCs w:val="24"/>
          </w:rPr>
          <w:instrText xml:space="preserve">NUMPAGES</w:instrText>
        </w:r>
        <w:r>
          <w:rPr>
            <w:bCs/>
            <w:sz w:val="24"/>
            <w:szCs w:val="24"/>
          </w:rPr>
          <w:fldChar w:fldCharType="separate"/>
        </w:r>
        <w:r>
          <w:rPr>
            <w:bCs/>
            <w:sz w:val="24"/>
            <w:szCs w:val="24"/>
          </w:rPr>
          <w:t>3</w:t>
        </w:r>
        <w:r>
          <w:rPr>
            <w:bCs/>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2"/>
      </w:rPr>
      <w:pict>
        <v:shape id="PowerPlusWaterMarkObject38795" o:spid="_x0000_s2049" o:spt="136" type="#_x0000_t136" style="position:absolute;left:0pt;height:174.25pt;width:507.8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PROIECT" style="font-family:Segoe UI;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997"/>
    <w:rsid w:val="000451D9"/>
    <w:rsid w:val="000469F6"/>
    <w:rsid w:val="00090F3B"/>
    <w:rsid w:val="000A55A6"/>
    <w:rsid w:val="000C2104"/>
    <w:rsid w:val="000E2F2A"/>
    <w:rsid w:val="000E514A"/>
    <w:rsid w:val="00144416"/>
    <w:rsid w:val="00151B4B"/>
    <w:rsid w:val="00172A27"/>
    <w:rsid w:val="0019071A"/>
    <w:rsid w:val="002150DC"/>
    <w:rsid w:val="002354B9"/>
    <w:rsid w:val="002B30A0"/>
    <w:rsid w:val="002D0592"/>
    <w:rsid w:val="00353EA8"/>
    <w:rsid w:val="00361D54"/>
    <w:rsid w:val="00371BB6"/>
    <w:rsid w:val="003A11C4"/>
    <w:rsid w:val="003C1BF8"/>
    <w:rsid w:val="004406EC"/>
    <w:rsid w:val="00484828"/>
    <w:rsid w:val="004C7829"/>
    <w:rsid w:val="004F26CD"/>
    <w:rsid w:val="00530442"/>
    <w:rsid w:val="00532592"/>
    <w:rsid w:val="005979DC"/>
    <w:rsid w:val="005B5709"/>
    <w:rsid w:val="006055A5"/>
    <w:rsid w:val="0066571C"/>
    <w:rsid w:val="00693252"/>
    <w:rsid w:val="006B0F2D"/>
    <w:rsid w:val="006D3629"/>
    <w:rsid w:val="006F4A32"/>
    <w:rsid w:val="007278B3"/>
    <w:rsid w:val="007556E2"/>
    <w:rsid w:val="007F5D0E"/>
    <w:rsid w:val="008004C9"/>
    <w:rsid w:val="00820ACC"/>
    <w:rsid w:val="008544F9"/>
    <w:rsid w:val="008E2465"/>
    <w:rsid w:val="00975395"/>
    <w:rsid w:val="009D702A"/>
    <w:rsid w:val="00A07D46"/>
    <w:rsid w:val="00A1255A"/>
    <w:rsid w:val="00A17A59"/>
    <w:rsid w:val="00A64600"/>
    <w:rsid w:val="00A903B9"/>
    <w:rsid w:val="00B0140D"/>
    <w:rsid w:val="00B06643"/>
    <w:rsid w:val="00B41767"/>
    <w:rsid w:val="00B501B8"/>
    <w:rsid w:val="00B529B3"/>
    <w:rsid w:val="00B960F8"/>
    <w:rsid w:val="00BD3E3B"/>
    <w:rsid w:val="00BE5298"/>
    <w:rsid w:val="00C4379D"/>
    <w:rsid w:val="00CA6483"/>
    <w:rsid w:val="00CC4C5A"/>
    <w:rsid w:val="00CD626F"/>
    <w:rsid w:val="00D06904"/>
    <w:rsid w:val="00D16220"/>
    <w:rsid w:val="00D5646F"/>
    <w:rsid w:val="00D86057"/>
    <w:rsid w:val="00DB4988"/>
    <w:rsid w:val="00DD5F7A"/>
    <w:rsid w:val="00E1239E"/>
    <w:rsid w:val="00E14F1C"/>
    <w:rsid w:val="00E261D2"/>
    <w:rsid w:val="00E869DD"/>
    <w:rsid w:val="00EA7055"/>
    <w:rsid w:val="00EF336F"/>
    <w:rsid w:val="00F01F7B"/>
    <w:rsid w:val="00FC706C"/>
    <w:rsid w:val="00FD414D"/>
    <w:rsid w:val="017132C4"/>
    <w:rsid w:val="01B5382E"/>
    <w:rsid w:val="033A4177"/>
    <w:rsid w:val="046A2D5D"/>
    <w:rsid w:val="050D4C51"/>
    <w:rsid w:val="05434128"/>
    <w:rsid w:val="056A4011"/>
    <w:rsid w:val="05B3112D"/>
    <w:rsid w:val="05D35300"/>
    <w:rsid w:val="061E259A"/>
    <w:rsid w:val="06CF0052"/>
    <w:rsid w:val="06DA4030"/>
    <w:rsid w:val="077962D9"/>
    <w:rsid w:val="079649FC"/>
    <w:rsid w:val="08400182"/>
    <w:rsid w:val="085D2FC7"/>
    <w:rsid w:val="08E642E2"/>
    <w:rsid w:val="09412CF1"/>
    <w:rsid w:val="096A0DD6"/>
    <w:rsid w:val="097364AE"/>
    <w:rsid w:val="0A143258"/>
    <w:rsid w:val="0A68477C"/>
    <w:rsid w:val="0A75672A"/>
    <w:rsid w:val="0ACE19E4"/>
    <w:rsid w:val="0E9944F7"/>
    <w:rsid w:val="0EAC038C"/>
    <w:rsid w:val="0EC0644A"/>
    <w:rsid w:val="0ECE126F"/>
    <w:rsid w:val="0EE94253"/>
    <w:rsid w:val="0F66343C"/>
    <w:rsid w:val="0FBD6589"/>
    <w:rsid w:val="0FE8037E"/>
    <w:rsid w:val="0FEB18AD"/>
    <w:rsid w:val="108F67EF"/>
    <w:rsid w:val="11711CDF"/>
    <w:rsid w:val="123D527E"/>
    <w:rsid w:val="130E68F7"/>
    <w:rsid w:val="13744EF2"/>
    <w:rsid w:val="13907FE8"/>
    <w:rsid w:val="13E24EDA"/>
    <w:rsid w:val="14527765"/>
    <w:rsid w:val="14753199"/>
    <w:rsid w:val="158D32E2"/>
    <w:rsid w:val="160F6C3A"/>
    <w:rsid w:val="163009A3"/>
    <w:rsid w:val="16DE4E92"/>
    <w:rsid w:val="17143B4B"/>
    <w:rsid w:val="1719700E"/>
    <w:rsid w:val="175308A2"/>
    <w:rsid w:val="176B52EF"/>
    <w:rsid w:val="18276088"/>
    <w:rsid w:val="195F069B"/>
    <w:rsid w:val="19A1335A"/>
    <w:rsid w:val="19DB1811"/>
    <w:rsid w:val="1A0560B6"/>
    <w:rsid w:val="1A233B0A"/>
    <w:rsid w:val="1A861454"/>
    <w:rsid w:val="1A9C16A7"/>
    <w:rsid w:val="1ABF73FC"/>
    <w:rsid w:val="1AFA266B"/>
    <w:rsid w:val="1B33636E"/>
    <w:rsid w:val="1B4F2268"/>
    <w:rsid w:val="1B656F04"/>
    <w:rsid w:val="1B6F1FAC"/>
    <w:rsid w:val="1BC43503"/>
    <w:rsid w:val="1BDF77D1"/>
    <w:rsid w:val="1BFF6E30"/>
    <w:rsid w:val="1C0A790C"/>
    <w:rsid w:val="1C2D32B8"/>
    <w:rsid w:val="1F275D88"/>
    <w:rsid w:val="1F50442D"/>
    <w:rsid w:val="1F837771"/>
    <w:rsid w:val="20572476"/>
    <w:rsid w:val="208D7B4B"/>
    <w:rsid w:val="20B37CF8"/>
    <w:rsid w:val="216A7EC3"/>
    <w:rsid w:val="21775976"/>
    <w:rsid w:val="217A0558"/>
    <w:rsid w:val="22074777"/>
    <w:rsid w:val="222157BC"/>
    <w:rsid w:val="22514E34"/>
    <w:rsid w:val="22727149"/>
    <w:rsid w:val="22B05799"/>
    <w:rsid w:val="22DD4BF9"/>
    <w:rsid w:val="233276FD"/>
    <w:rsid w:val="24365C93"/>
    <w:rsid w:val="24670804"/>
    <w:rsid w:val="24BE13EF"/>
    <w:rsid w:val="24F93D2F"/>
    <w:rsid w:val="252429CB"/>
    <w:rsid w:val="2533705B"/>
    <w:rsid w:val="2567658B"/>
    <w:rsid w:val="256C1AE3"/>
    <w:rsid w:val="260E346C"/>
    <w:rsid w:val="26261682"/>
    <w:rsid w:val="263F3D81"/>
    <w:rsid w:val="266C1D58"/>
    <w:rsid w:val="282D76E6"/>
    <w:rsid w:val="286B27AE"/>
    <w:rsid w:val="29434497"/>
    <w:rsid w:val="29A87002"/>
    <w:rsid w:val="29C87116"/>
    <w:rsid w:val="29CF0159"/>
    <w:rsid w:val="2A427FA3"/>
    <w:rsid w:val="2AB82991"/>
    <w:rsid w:val="2B8220C9"/>
    <w:rsid w:val="2C7432C5"/>
    <w:rsid w:val="2C912B1A"/>
    <w:rsid w:val="2C9D230E"/>
    <w:rsid w:val="2D363E93"/>
    <w:rsid w:val="2D7C1497"/>
    <w:rsid w:val="2DA1538C"/>
    <w:rsid w:val="2E5E6BFA"/>
    <w:rsid w:val="2E9B516A"/>
    <w:rsid w:val="2EEB2F77"/>
    <w:rsid w:val="2F0527AB"/>
    <w:rsid w:val="2F476E82"/>
    <w:rsid w:val="31411343"/>
    <w:rsid w:val="3170478E"/>
    <w:rsid w:val="319F7E08"/>
    <w:rsid w:val="31ED127D"/>
    <w:rsid w:val="3207551A"/>
    <w:rsid w:val="32A34E35"/>
    <w:rsid w:val="331F6E53"/>
    <w:rsid w:val="336B7857"/>
    <w:rsid w:val="33AC5DD2"/>
    <w:rsid w:val="34D6505C"/>
    <w:rsid w:val="35532073"/>
    <w:rsid w:val="357A58EE"/>
    <w:rsid w:val="358C2A7C"/>
    <w:rsid w:val="36ED4BFB"/>
    <w:rsid w:val="378665E9"/>
    <w:rsid w:val="385B7679"/>
    <w:rsid w:val="389B0E2F"/>
    <w:rsid w:val="3A5C3B60"/>
    <w:rsid w:val="3B0D5AD5"/>
    <w:rsid w:val="3B6162A6"/>
    <w:rsid w:val="3BA2452B"/>
    <w:rsid w:val="3BB239BC"/>
    <w:rsid w:val="3BDF2F4F"/>
    <w:rsid w:val="3C5052DC"/>
    <w:rsid w:val="3D2C6003"/>
    <w:rsid w:val="3D9F2B5D"/>
    <w:rsid w:val="3E547AF9"/>
    <w:rsid w:val="3E5E2B25"/>
    <w:rsid w:val="3EB96570"/>
    <w:rsid w:val="3F2E1232"/>
    <w:rsid w:val="3F6E5B70"/>
    <w:rsid w:val="3F9F2B40"/>
    <w:rsid w:val="409534F9"/>
    <w:rsid w:val="40AC6C3C"/>
    <w:rsid w:val="4107790E"/>
    <w:rsid w:val="419F3FC3"/>
    <w:rsid w:val="41D459F4"/>
    <w:rsid w:val="425F0A65"/>
    <w:rsid w:val="42EB1BC0"/>
    <w:rsid w:val="43420776"/>
    <w:rsid w:val="435C1C97"/>
    <w:rsid w:val="436A1F5E"/>
    <w:rsid w:val="436B0846"/>
    <w:rsid w:val="43B674A5"/>
    <w:rsid w:val="44271D8A"/>
    <w:rsid w:val="44A06941"/>
    <w:rsid w:val="44BB038A"/>
    <w:rsid w:val="4555688D"/>
    <w:rsid w:val="45C77E6D"/>
    <w:rsid w:val="45D1126C"/>
    <w:rsid w:val="464B5B21"/>
    <w:rsid w:val="46C742DA"/>
    <w:rsid w:val="47095831"/>
    <w:rsid w:val="482D794D"/>
    <w:rsid w:val="484B0E09"/>
    <w:rsid w:val="48941FA8"/>
    <w:rsid w:val="48CB5C61"/>
    <w:rsid w:val="48EA5C3D"/>
    <w:rsid w:val="4A6A12E1"/>
    <w:rsid w:val="4A8F5736"/>
    <w:rsid w:val="4C5C7B50"/>
    <w:rsid w:val="4C714702"/>
    <w:rsid w:val="4CF84593"/>
    <w:rsid w:val="4D3679BD"/>
    <w:rsid w:val="4D555E2E"/>
    <w:rsid w:val="4D5D6007"/>
    <w:rsid w:val="4E303255"/>
    <w:rsid w:val="4E7B34E5"/>
    <w:rsid w:val="4EC0205A"/>
    <w:rsid w:val="4F243544"/>
    <w:rsid w:val="4FD824A9"/>
    <w:rsid w:val="508B1287"/>
    <w:rsid w:val="513258B0"/>
    <w:rsid w:val="53022288"/>
    <w:rsid w:val="53D312A3"/>
    <w:rsid w:val="54A82C92"/>
    <w:rsid w:val="54DB3699"/>
    <w:rsid w:val="55332966"/>
    <w:rsid w:val="55E93F70"/>
    <w:rsid w:val="566610F5"/>
    <w:rsid w:val="56736F24"/>
    <w:rsid w:val="57C6052D"/>
    <w:rsid w:val="57DB269B"/>
    <w:rsid w:val="58A53EC5"/>
    <w:rsid w:val="59643181"/>
    <w:rsid w:val="59FB1F9F"/>
    <w:rsid w:val="5A26048B"/>
    <w:rsid w:val="5AF73040"/>
    <w:rsid w:val="5BB737EB"/>
    <w:rsid w:val="5C8E2E08"/>
    <w:rsid w:val="5D164360"/>
    <w:rsid w:val="5D3D53B3"/>
    <w:rsid w:val="5D6E3FB1"/>
    <w:rsid w:val="5D891F32"/>
    <w:rsid w:val="5DF74699"/>
    <w:rsid w:val="5F534B6C"/>
    <w:rsid w:val="5F7A4501"/>
    <w:rsid w:val="606D26B3"/>
    <w:rsid w:val="60741D12"/>
    <w:rsid w:val="615F3BC9"/>
    <w:rsid w:val="61A05A10"/>
    <w:rsid w:val="61A8290A"/>
    <w:rsid w:val="62062EA2"/>
    <w:rsid w:val="627B2486"/>
    <w:rsid w:val="637417B5"/>
    <w:rsid w:val="63A4057F"/>
    <w:rsid w:val="64563127"/>
    <w:rsid w:val="64AB6860"/>
    <w:rsid w:val="65211582"/>
    <w:rsid w:val="65346186"/>
    <w:rsid w:val="65800FFF"/>
    <w:rsid w:val="658C5614"/>
    <w:rsid w:val="660139E7"/>
    <w:rsid w:val="665E55D1"/>
    <w:rsid w:val="668E5652"/>
    <w:rsid w:val="67FA0325"/>
    <w:rsid w:val="68077D41"/>
    <w:rsid w:val="68307D69"/>
    <w:rsid w:val="68F30DB2"/>
    <w:rsid w:val="690B0B9C"/>
    <w:rsid w:val="691C2EEF"/>
    <w:rsid w:val="69346E75"/>
    <w:rsid w:val="694B42D7"/>
    <w:rsid w:val="6991712F"/>
    <w:rsid w:val="6A243E58"/>
    <w:rsid w:val="6A925AC3"/>
    <w:rsid w:val="6B03747A"/>
    <w:rsid w:val="6B267AFB"/>
    <w:rsid w:val="6B325929"/>
    <w:rsid w:val="6B8A5D7D"/>
    <w:rsid w:val="6BF42CC8"/>
    <w:rsid w:val="6C0C18BB"/>
    <w:rsid w:val="6CA601EE"/>
    <w:rsid w:val="6D327BAF"/>
    <w:rsid w:val="6D495883"/>
    <w:rsid w:val="6D6038D7"/>
    <w:rsid w:val="6D704300"/>
    <w:rsid w:val="6DEA3C4C"/>
    <w:rsid w:val="6E013A41"/>
    <w:rsid w:val="6E471F31"/>
    <w:rsid w:val="6E87268C"/>
    <w:rsid w:val="6EAE0013"/>
    <w:rsid w:val="6F6F2327"/>
    <w:rsid w:val="6FFF1E86"/>
    <w:rsid w:val="70015CD0"/>
    <w:rsid w:val="70F91F20"/>
    <w:rsid w:val="71784085"/>
    <w:rsid w:val="718113F0"/>
    <w:rsid w:val="71D61D73"/>
    <w:rsid w:val="72E04D06"/>
    <w:rsid w:val="743F2E10"/>
    <w:rsid w:val="744276F9"/>
    <w:rsid w:val="75375A5A"/>
    <w:rsid w:val="753A13CD"/>
    <w:rsid w:val="753E4236"/>
    <w:rsid w:val="767D7B9E"/>
    <w:rsid w:val="76B4183D"/>
    <w:rsid w:val="76C473A5"/>
    <w:rsid w:val="779B73D7"/>
    <w:rsid w:val="779D4A34"/>
    <w:rsid w:val="78571EFD"/>
    <w:rsid w:val="78755A33"/>
    <w:rsid w:val="78AC52A2"/>
    <w:rsid w:val="78E56D57"/>
    <w:rsid w:val="793B6439"/>
    <w:rsid w:val="79AC7923"/>
    <w:rsid w:val="7A8F06B1"/>
    <w:rsid w:val="7AED109E"/>
    <w:rsid w:val="7B0E3DC2"/>
    <w:rsid w:val="7CB81475"/>
    <w:rsid w:val="7CF2633F"/>
    <w:rsid w:val="7D9B57EE"/>
    <w:rsid w:val="7DEC6562"/>
    <w:rsid w:val="7E304710"/>
    <w:rsid w:val="7E6A1AA3"/>
    <w:rsid w:val="7F6537B2"/>
    <w:rsid w:val="7F6668CD"/>
    <w:rsid w:val="7FB87E8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6"/>
    <w:semiHidden/>
    <w:unhideWhenUsed/>
    <w:qFormat/>
    <w:uiPriority w:val="99"/>
    <w:pPr>
      <w:spacing w:after="0" w:line="240" w:lineRule="auto"/>
    </w:pPr>
    <w:rPr>
      <w:rFonts w:ascii="Tahoma" w:hAnsi="Tahoma" w:cs="Tahoma"/>
      <w:sz w:val="16"/>
      <w:szCs w:val="16"/>
    </w:rPr>
  </w:style>
  <w:style w:type="paragraph" w:styleId="5">
    <w:name w:val="Body Text"/>
    <w:basedOn w:val="1"/>
    <w:qFormat/>
    <w:uiPriority w:val="0"/>
    <w:pPr>
      <w:spacing w:after="140" w:line="276" w:lineRule="auto"/>
    </w:pPr>
  </w:style>
  <w:style w:type="paragraph" w:styleId="6">
    <w:name w:val="caption"/>
    <w:basedOn w:val="1"/>
    <w:next w:val="1"/>
    <w:qFormat/>
    <w:uiPriority w:val="0"/>
    <w:pPr>
      <w:suppressLineNumbers/>
      <w:spacing w:before="120" w:after="120"/>
    </w:pPr>
    <w:rPr>
      <w:rFonts w:cs="Arial"/>
      <w:i/>
      <w:iCs/>
      <w:sz w:val="24"/>
      <w:szCs w:val="24"/>
    </w:rPr>
  </w:style>
  <w:style w:type="character" w:styleId="7">
    <w:name w:val="annotation reference"/>
    <w:basedOn w:val="2"/>
    <w:semiHidden/>
    <w:unhideWhenUsed/>
    <w:qFormat/>
    <w:uiPriority w:val="99"/>
    <w:rPr>
      <w:sz w:val="16"/>
      <w:szCs w:val="16"/>
    </w:rPr>
  </w:style>
  <w:style w:type="paragraph" w:styleId="8">
    <w:name w:val="annotation text"/>
    <w:basedOn w:val="1"/>
    <w:link w:val="28"/>
    <w:semiHidden/>
    <w:unhideWhenUsed/>
    <w:qFormat/>
    <w:uiPriority w:val="99"/>
    <w:pPr>
      <w:spacing w:line="240" w:lineRule="auto"/>
    </w:pPr>
    <w:rPr>
      <w:sz w:val="20"/>
      <w:szCs w:val="20"/>
    </w:rPr>
  </w:style>
  <w:style w:type="paragraph" w:styleId="9">
    <w:name w:val="annotation subject"/>
    <w:basedOn w:val="8"/>
    <w:next w:val="8"/>
    <w:link w:val="29"/>
    <w:semiHidden/>
    <w:unhideWhenUsed/>
    <w:qFormat/>
    <w:uiPriority w:val="99"/>
    <w:rPr>
      <w:b/>
      <w:bCs/>
    </w:rPr>
  </w:style>
  <w:style w:type="paragraph" w:styleId="10">
    <w:name w:val="footer"/>
    <w:basedOn w:val="1"/>
    <w:link w:val="17"/>
    <w:unhideWhenUsed/>
    <w:qFormat/>
    <w:uiPriority w:val="99"/>
    <w:pPr>
      <w:tabs>
        <w:tab w:val="center" w:pos="4680"/>
        <w:tab w:val="right" w:pos="9360"/>
      </w:tabs>
      <w:spacing w:after="0" w:line="240" w:lineRule="auto"/>
    </w:pPr>
  </w:style>
  <w:style w:type="paragraph" w:styleId="11">
    <w:name w:val="header"/>
    <w:basedOn w:val="1"/>
    <w:link w:val="16"/>
    <w:unhideWhenUsed/>
    <w:qFormat/>
    <w:uiPriority w:val="99"/>
    <w:pPr>
      <w:tabs>
        <w:tab w:val="center" w:pos="4680"/>
        <w:tab w:val="right" w:pos="9360"/>
      </w:tabs>
      <w:spacing w:after="0" w:line="240" w:lineRule="auto"/>
    </w:pPr>
  </w:style>
  <w:style w:type="character" w:styleId="12">
    <w:name w:val="Hyperlink"/>
    <w:basedOn w:val="2"/>
    <w:semiHidden/>
    <w:unhideWhenUsed/>
    <w:qFormat/>
    <w:uiPriority w:val="99"/>
    <w:rPr>
      <w:color w:val="0000FF"/>
      <w:u w:val="single"/>
    </w:rPr>
  </w:style>
  <w:style w:type="paragraph" w:styleId="13">
    <w:name w:val="List"/>
    <w:basedOn w:val="5"/>
    <w:qFormat/>
    <w:uiPriority w:val="0"/>
    <w:rPr>
      <w:rFonts w:cs="Arial"/>
    </w:rPr>
  </w:style>
  <w:style w:type="paragraph" w:styleId="14">
    <w:name w:val="Normal (Web)"/>
    <w:basedOn w:val="1"/>
    <w:qFormat/>
    <w:uiPriority w:val="0"/>
    <w:pPr>
      <w:spacing w:before="280" w:after="280"/>
    </w:pPr>
    <w:rPr>
      <w:color w:val="000000"/>
    </w:rPr>
  </w:style>
  <w:style w:type="table" w:styleId="15">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Header Char"/>
    <w:basedOn w:val="2"/>
    <w:link w:val="11"/>
    <w:qFormat/>
    <w:uiPriority w:val="99"/>
  </w:style>
  <w:style w:type="character" w:customStyle="1" w:styleId="17">
    <w:name w:val="Footer Char"/>
    <w:basedOn w:val="2"/>
    <w:link w:val="10"/>
    <w:qFormat/>
    <w:uiPriority w:val="99"/>
  </w:style>
  <w:style w:type="character" w:customStyle="1" w:styleId="18">
    <w:name w:val="Internet Link"/>
    <w:basedOn w:val="2"/>
    <w:unhideWhenUsed/>
    <w:qFormat/>
    <w:uiPriority w:val="99"/>
    <w:rPr>
      <w:color w:val="0563C1" w:themeColor="hyperlink"/>
      <w:u w:val="single"/>
      <w14:textFill>
        <w14:solidFill>
          <w14:schemeClr w14:val="hlink"/>
        </w14:solidFill>
      </w14:textFill>
    </w:rPr>
  </w:style>
  <w:style w:type="paragraph" w:customStyle="1" w:styleId="19">
    <w:name w:val="Heading"/>
    <w:basedOn w:val="1"/>
    <w:next w:val="5"/>
    <w:qFormat/>
    <w:uiPriority w:val="0"/>
    <w:pPr>
      <w:keepNext/>
      <w:spacing w:before="240" w:after="120"/>
    </w:pPr>
    <w:rPr>
      <w:rFonts w:ascii="Liberation Sans" w:hAnsi="Liberation Sans" w:eastAsia="Microsoft YaHei" w:cs="Arial"/>
      <w:sz w:val="28"/>
      <w:szCs w:val="28"/>
    </w:rPr>
  </w:style>
  <w:style w:type="paragraph" w:customStyle="1" w:styleId="20">
    <w:name w:val="Index"/>
    <w:basedOn w:val="1"/>
    <w:qFormat/>
    <w:uiPriority w:val="0"/>
    <w:pPr>
      <w:suppressLineNumbers/>
    </w:pPr>
    <w:rPr>
      <w:rFonts w:cs="Arial"/>
    </w:rPr>
  </w:style>
  <w:style w:type="paragraph" w:customStyle="1" w:styleId="21">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22">
    <w:name w:val="Frame Contents"/>
    <w:basedOn w:val="1"/>
    <w:qFormat/>
    <w:uiPriority w:val="0"/>
  </w:style>
  <w:style w:type="paragraph" w:customStyle="1" w:styleId="23">
    <w:name w:val="Default Text"/>
    <w:basedOn w:val="1"/>
    <w:qFormat/>
    <w:uiPriority w:val="0"/>
    <w:pPr>
      <w:autoSpaceDE w:val="0"/>
      <w:autoSpaceDN w:val="0"/>
      <w:adjustRightInd w:val="0"/>
    </w:pPr>
  </w:style>
  <w:style w:type="paragraph" w:customStyle="1" w:styleId="24">
    <w:name w:val="western"/>
    <w:basedOn w:val="1"/>
    <w:qFormat/>
    <w:uiPriority w:val="0"/>
    <w:pPr>
      <w:spacing w:before="280" w:after="144" w:line="288" w:lineRule="auto"/>
    </w:pPr>
    <w:rPr>
      <w:color w:val="000000"/>
    </w:rPr>
  </w:style>
  <w:style w:type="paragraph" w:customStyle="1" w:styleId="25">
    <w:name w:val="Default Text:1:1"/>
    <w:basedOn w:val="1"/>
    <w:qFormat/>
    <w:uiPriority w:val="0"/>
    <w:pPr>
      <w:autoSpaceDE w:val="0"/>
      <w:autoSpaceDN w:val="0"/>
      <w:adjustRightInd w:val="0"/>
    </w:pPr>
  </w:style>
  <w:style w:type="character" w:customStyle="1" w:styleId="26">
    <w:name w:val="Balloon Text Char"/>
    <w:basedOn w:val="2"/>
    <w:link w:val="4"/>
    <w:semiHidden/>
    <w:qFormat/>
    <w:uiPriority w:val="99"/>
    <w:rPr>
      <w:rFonts w:ascii="Tahoma" w:hAnsi="Tahoma" w:cs="Tahoma" w:eastAsiaTheme="minorHAnsi"/>
      <w:sz w:val="16"/>
      <w:szCs w:val="16"/>
      <w:lang w:val="en-US" w:eastAsia="en-US"/>
    </w:rPr>
  </w:style>
  <w:style w:type="character" w:customStyle="1" w:styleId="27">
    <w:name w:val="rvts8"/>
    <w:basedOn w:val="2"/>
    <w:qFormat/>
    <w:uiPriority w:val="0"/>
  </w:style>
  <w:style w:type="character" w:customStyle="1" w:styleId="28">
    <w:name w:val="Comment Text Char"/>
    <w:basedOn w:val="2"/>
    <w:link w:val="8"/>
    <w:semiHidden/>
    <w:qFormat/>
    <w:uiPriority w:val="99"/>
    <w:rPr>
      <w:rFonts w:asciiTheme="minorHAnsi" w:hAnsiTheme="minorHAnsi" w:eastAsiaTheme="minorHAnsi" w:cstheme="minorBidi"/>
      <w:lang w:val="en-US" w:eastAsia="en-US"/>
    </w:rPr>
  </w:style>
  <w:style w:type="character" w:customStyle="1" w:styleId="29">
    <w:name w:val="Comment Subject Char"/>
    <w:basedOn w:val="28"/>
    <w:link w:val="9"/>
    <w:semiHidden/>
    <w:qFormat/>
    <w:uiPriority w:val="99"/>
    <w:rPr>
      <w:rFonts w:asciiTheme="minorHAnsi" w:hAnsiTheme="minorHAnsi" w:eastAsiaTheme="minorHAnsi" w:cstheme="minorBidi"/>
      <w:b/>
      <w:bCs/>
      <w:lang w:val="en-US" w:eastAsia="en-US"/>
    </w:rPr>
  </w:style>
  <w:style w:type="character" w:customStyle="1" w:styleId="30">
    <w:name w:val="s_aln_ttl"/>
    <w:basedOn w:val="2"/>
    <w:qFormat/>
    <w:uiPriority w:val="0"/>
  </w:style>
  <w:style w:type="character" w:customStyle="1" w:styleId="31">
    <w:name w:val="apple-converted-space"/>
    <w:basedOn w:val="2"/>
    <w:qFormat/>
    <w:uiPriority w:val="0"/>
  </w:style>
  <w:style w:type="character" w:customStyle="1" w:styleId="32">
    <w:name w:val="s_aln_bdy"/>
    <w:basedOn w:val="2"/>
    <w:qFormat/>
    <w:uiPriority w:val="0"/>
  </w:style>
  <w:style w:type="character" w:customStyle="1" w:styleId="33">
    <w:name w:val="s_den"/>
    <w:basedOn w:val="2"/>
    <w:qFormat/>
    <w:uiPriority w:val="0"/>
  </w:style>
  <w:style w:type="character" w:customStyle="1" w:styleId="34">
    <w:name w:val="s_hdr"/>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405373-BF46-4FFC-B048-5C896066045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3</Pages>
  <Words>997</Words>
  <Characters>5789</Characters>
  <Lines>48</Lines>
  <Paragraphs>13</Paragraphs>
  <TotalTime>8</TotalTime>
  <ScaleCrop>false</ScaleCrop>
  <LinksUpToDate>false</LinksUpToDate>
  <CharactersWithSpaces>6773</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CRISTIAN-NICOLAE MARIN</dc:creator>
  <cp:lastModifiedBy>80063398</cp:lastModifiedBy>
  <cp:lastPrinted>2024-04-11T07:12:00Z</cp:lastPrinted>
  <dcterms:modified xsi:type="dcterms:W3CDTF">2026-08-03T12:58:44Z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1033-11.2.0.10463</vt:lpwstr>
  </property>
  <property fmtid="{D5CDD505-2E9C-101B-9397-08002B2CF9AE}" pid="10" name="ICV">
    <vt:lpwstr>16754C2A87DF434BBBA6A1665CD77633</vt:lpwstr>
  </property>
</Properties>
</file>