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overflowPunct w:val="0"/>
        <w:spacing w:line="240" w:lineRule="auto"/>
        <w:ind w:left="720" w:firstLine="720"/>
        <w:rPr>
          <w:rFonts w:ascii="Trebuchet MS" w:hAnsi="Trebuchet MS" w:cs="Trebuchet MS"/>
          <w:sz w:val="24"/>
          <w:szCs w:val="24"/>
        </w:rPr>
      </w:pPr>
      <w:r>
        <w:rPr>
          <w:sz w:val="24"/>
        </w:rPr>
        <w:drawing>
          <wp:anchor distT="0" distB="0" distL="114300" distR="114300" simplePos="0" relativeHeight="251659264" behindDoc="0" locked="0" layoutInCell="1" allowOverlap="1">
            <wp:simplePos x="0" y="0"/>
            <wp:positionH relativeFrom="column">
              <wp:posOffset>-59055</wp:posOffset>
            </wp:positionH>
            <wp:positionV relativeFrom="paragraph">
              <wp:posOffset>-101600</wp:posOffset>
            </wp:positionV>
            <wp:extent cx="892810" cy="893445"/>
            <wp:effectExtent l="0" t="0" r="2540" b="1905"/>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2"/>
                    <a:stretch>
                      <a:fillRect/>
                    </a:stretch>
                  </pic:blipFill>
                  <pic:spPr>
                    <a:xfrm>
                      <a:off x="0" y="0"/>
                      <a:ext cx="892810" cy="893445"/>
                    </a:xfrm>
                    <a:prstGeom prst="rect">
                      <a:avLst/>
                    </a:prstGeom>
                    <a:ln w="0">
                      <a:noFill/>
                    </a:ln>
                  </pic:spPr>
                </pic:pic>
              </a:graphicData>
            </a:graphic>
          </wp:anchor>
        </w:drawing>
      </w:r>
      <w:r>
        <w:rPr>
          <w:rFonts w:ascii="Trebuchet MS" w:hAnsi="Trebuchet MS" w:cs="Trebuchet MS"/>
          <w:sz w:val="24"/>
          <w:szCs w:val="24"/>
        </w:rPr>
        <w:t xml:space="preserve">MINISTERUL FINANȚELOR </w:t>
      </w:r>
    </w:p>
    <w:p>
      <w:pPr>
        <w:widowControl/>
        <w:overflowPunct w:val="0"/>
        <w:spacing w:after="103" w:line="240" w:lineRule="auto"/>
        <w:ind w:left="720" w:firstLine="720"/>
        <w:rPr>
          <w:rFonts w:ascii="Trebuchet MS" w:hAnsi="Trebuchet MS" w:cs="Trebuchet MS"/>
          <w:sz w:val="24"/>
          <w:szCs w:val="24"/>
        </w:rPr>
      </w:pPr>
      <w:r>
        <w:rPr>
          <w:rFonts w:ascii="Trebuchet MS" w:hAnsi="Trebuchet MS" w:cs="Trebuchet MS"/>
          <w:sz w:val="24"/>
          <w:szCs w:val="24"/>
        </w:rPr>
        <w:t>Agen</w:t>
      </w:r>
      <w:r>
        <w:rPr>
          <w:rFonts w:ascii="Trebuchet MS" w:hAnsi="Trebuchet MS" w:cs="Trebuchet MS"/>
          <w:sz w:val="24"/>
          <w:szCs w:val="24"/>
          <w:lang w:val="ro-RO"/>
        </w:rPr>
        <w:t>ția Națională de Administrare Fiscală</w:t>
      </w:r>
    </w:p>
    <w:p>
      <w:pPr>
        <w:widowControl/>
        <w:overflowPunct w:val="0"/>
        <w:spacing w:after="103" w:line="240" w:lineRule="auto"/>
        <w:rPr>
          <w:rFonts w:ascii="Trebuchet MS" w:hAnsi="Trebuchet MS" w:cs="Trebuchet MS"/>
          <w:sz w:val="24"/>
          <w:szCs w:val="24"/>
          <w:lang w:val="ro-RO" w:eastAsia="zh-CN"/>
        </w:rPr>
      </w:pPr>
      <w:bookmarkStart w:id="0" w:name="_GoBack"/>
      <w:bookmarkEnd w:id="0"/>
    </w:p>
    <w:p>
      <w:pPr>
        <w:widowControl/>
        <w:overflowPunct w:val="0"/>
        <w:spacing w:after="0" w:line="20" w:lineRule="atLeast"/>
        <w:jc w:val="center"/>
        <w:rPr>
          <w:rFonts w:ascii="Trebuchet MS" w:hAnsi="Trebuchet MS" w:cs="Trebuchet MS"/>
          <w:b/>
          <w:bCs/>
          <w:sz w:val="24"/>
          <w:szCs w:val="24"/>
        </w:rPr>
      </w:pPr>
      <w:r>
        <w:rPr>
          <w:rFonts w:ascii="Trebuchet MS" w:hAnsi="Trebuchet MS" w:cs="Trebuchet MS"/>
          <w:b/>
          <w:bCs/>
          <w:sz w:val="24"/>
          <w:szCs w:val="24"/>
          <w:lang w:val="ro-RO" w:eastAsia="zh-CN"/>
        </w:rPr>
        <w:t>REFERAT</w:t>
      </w:r>
    </w:p>
    <w:p>
      <w:pPr>
        <w:pStyle w:val="6"/>
        <w:spacing w:after="0" w:line="20" w:lineRule="atLeast"/>
        <w:jc w:val="center"/>
        <w:rPr>
          <w:rFonts w:ascii="Trebuchet MS" w:hAnsi="Trebuchet MS" w:cs="Trebuchet MS"/>
          <w:b/>
          <w:bCs/>
          <w:sz w:val="24"/>
          <w:szCs w:val="24"/>
          <w:lang w:eastAsia="zh-CN"/>
        </w:rPr>
      </w:pPr>
      <w:r>
        <w:rPr>
          <w:rFonts w:ascii="Trebuchet MS" w:hAnsi="Trebuchet MS" w:cs="Trebuchet MS"/>
          <w:b/>
          <w:bCs/>
          <w:sz w:val="24"/>
          <w:szCs w:val="24"/>
          <w:highlight w:val="white"/>
          <w:lang w:val="ro-RO"/>
        </w:rPr>
        <w:t xml:space="preserve">pentru modificarea articolului 3 din anexa nr. 2 la </w:t>
      </w:r>
      <w:r>
        <w:rPr>
          <w:rFonts w:ascii="Trebuchet MS" w:hAnsi="Trebuchet MS" w:cs="Trebuchet MS"/>
          <w:b/>
          <w:bCs/>
          <w:sz w:val="24"/>
          <w:szCs w:val="24"/>
          <w:lang w:eastAsia="zh-CN"/>
        </w:rPr>
        <w:t>O</w:t>
      </w:r>
      <w:r>
        <w:rPr>
          <w:rFonts w:ascii="Trebuchet MS" w:hAnsi="Trebuchet MS" w:cs="Trebuchet MS"/>
          <w:b/>
          <w:bCs/>
          <w:sz w:val="24"/>
          <w:szCs w:val="24"/>
          <w:lang w:val="ro-RO" w:eastAsia="zh-CN"/>
        </w:rPr>
        <w:t>rdinul</w:t>
      </w:r>
      <w:r>
        <w:rPr>
          <w:rFonts w:ascii="Trebuchet MS" w:hAnsi="Trebuchet MS" w:cs="Trebuchet MS"/>
          <w:b/>
          <w:bCs/>
          <w:sz w:val="24"/>
          <w:szCs w:val="24"/>
          <w:lang w:eastAsia="zh-CN"/>
        </w:rPr>
        <w:t xml:space="preserve"> </w:t>
      </w:r>
      <w:r>
        <w:rPr>
          <w:rFonts w:ascii="Trebuchet MS" w:hAnsi="Trebuchet MS"/>
          <w:b/>
          <w:sz w:val="24"/>
          <w:szCs w:val="24"/>
        </w:rPr>
        <w:t>preşedintelui Agenţiei Naţionale de Administrare Fiscală</w:t>
      </w:r>
      <w:r>
        <w:rPr>
          <w:rFonts w:ascii="Trebuchet MS" w:hAnsi="Trebuchet MS"/>
          <w:b/>
        </w:rPr>
        <w:t xml:space="preserve"> </w:t>
      </w:r>
      <w:r>
        <w:rPr>
          <w:rFonts w:ascii="Trebuchet MS" w:hAnsi="Trebuchet MS" w:cs="Trebuchet MS"/>
          <w:b/>
          <w:bCs/>
          <w:sz w:val="24"/>
          <w:szCs w:val="24"/>
          <w:lang w:val="ro-RO" w:eastAsia="zh-CN"/>
        </w:rPr>
        <w:t>nr</w:t>
      </w:r>
      <w:r>
        <w:rPr>
          <w:rFonts w:ascii="Trebuchet MS" w:hAnsi="Trebuchet MS" w:cs="Trebuchet MS"/>
          <w:b/>
          <w:bCs/>
          <w:sz w:val="24"/>
          <w:szCs w:val="24"/>
          <w:lang w:eastAsia="zh-CN"/>
        </w:rPr>
        <w:t>. 437/2026</w:t>
      </w:r>
      <w:r>
        <w:rPr>
          <w:rFonts w:ascii="Trebuchet MS" w:hAnsi="Trebuchet MS" w:cs="Trebuchet MS"/>
          <w:b/>
          <w:bCs/>
          <w:sz w:val="24"/>
          <w:szCs w:val="24"/>
          <w:lang w:val="ro-RO" w:eastAsia="zh-CN"/>
        </w:rPr>
        <w:t xml:space="preserve"> </w:t>
      </w:r>
      <w:r>
        <w:rPr>
          <w:rFonts w:ascii="Trebuchet MS" w:hAnsi="Trebuchet MS" w:cs="Trebuchet MS"/>
          <w:b/>
          <w:bCs/>
          <w:sz w:val="24"/>
          <w:szCs w:val="24"/>
          <w:lang w:eastAsia="zh-CN"/>
        </w:rPr>
        <w:t>privind competenţele, componenţa, precum şi regulamentul de organizare şi funcţionare ale Comisiei pentru autorizarea operatorilor de produse supuse accizelor armonizate</w:t>
      </w:r>
    </w:p>
    <w:p>
      <w:pPr>
        <w:pStyle w:val="6"/>
        <w:spacing w:after="0" w:line="20" w:lineRule="atLeast"/>
        <w:jc w:val="center"/>
        <w:rPr>
          <w:rFonts w:ascii="Trebuchet MS" w:hAnsi="Trebuchet MS" w:cs="Trebuchet MS"/>
          <w:b/>
          <w:bCs/>
          <w:sz w:val="24"/>
          <w:szCs w:val="24"/>
          <w:lang w:val="ro-RO" w:eastAsia="zh-CN"/>
        </w:rPr>
      </w:pPr>
    </w:p>
    <w:p>
      <w:pPr>
        <w:pStyle w:val="6"/>
        <w:spacing w:after="0" w:line="20" w:lineRule="atLeast"/>
        <w:jc w:val="center"/>
        <w:rPr>
          <w:rFonts w:ascii="Trebuchet MS" w:hAnsi="Trebuchet MS" w:cs="Trebuchet MS"/>
          <w:sz w:val="24"/>
          <w:szCs w:val="24"/>
          <w:lang w:val="ro-RO" w:eastAsia="zh-CN"/>
        </w:rPr>
      </w:pPr>
      <w:r>
        <w:rPr>
          <w:rFonts w:ascii="Trebuchet MS" w:hAnsi="Trebuchet MS" w:cs="Trebuchet MS"/>
          <w:b/>
          <w:bCs/>
          <w:sz w:val="24"/>
          <w:szCs w:val="24"/>
          <w:lang w:val="ro-RO" w:eastAsia="zh-CN"/>
        </w:rPr>
        <w:t xml:space="preserve"> </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Prin O.U.G.</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n</w:t>
      </w:r>
      <w:r>
        <w:rPr>
          <w:rFonts w:ascii="Trebuchet MS" w:hAnsi="Trebuchet MS" w:cs="Trebuchet MS"/>
          <w:sz w:val="24"/>
          <w:szCs w:val="24"/>
          <w:lang w:eastAsia="zh-CN"/>
        </w:rPr>
        <w:t>r. 89/2025 din 23 decembrie 2025</w:t>
      </w:r>
      <w:r>
        <w:rPr>
          <w:rFonts w:ascii="Trebuchet MS" w:hAnsi="Trebuchet MS" w:cs="Trebuchet MS"/>
          <w:sz w:val="24"/>
          <w:szCs w:val="24"/>
          <w:lang w:val="ro-RO" w:eastAsia="zh-CN"/>
        </w:rPr>
        <w:t xml:space="preserve"> </w:t>
      </w:r>
      <w:r>
        <w:rPr>
          <w:rFonts w:ascii="Trebuchet MS" w:hAnsi="Trebuchet MS" w:cs="Trebuchet MS"/>
          <w:sz w:val="24"/>
          <w:szCs w:val="24"/>
          <w:lang w:eastAsia="zh-CN"/>
        </w:rPr>
        <w:t>pentru modificarea şi completarea Legii nr. 227/2015 privind Codul fiscal, reglementarea unor măsuri fiscal-bugetare, precum şi pentru modificarea şi completarea unor acte normative</w:t>
      </w:r>
      <w:r>
        <w:rPr>
          <w:rFonts w:ascii="Trebuchet MS" w:hAnsi="Trebuchet MS" w:cs="Trebuchet MS"/>
          <w:sz w:val="24"/>
          <w:szCs w:val="24"/>
          <w:lang w:val="ro-RO" w:eastAsia="zh-CN"/>
        </w:rPr>
        <w:t>, au fost modificate prevederile Legii nr. 227/2015 privind Codul fiscal, astfel:</w:t>
      </w:r>
    </w:p>
    <w:p>
      <w:pPr>
        <w:pStyle w:val="6"/>
        <w:spacing w:after="0" w:line="240" w:lineRule="auto"/>
        <w:ind w:firstLine="720"/>
        <w:jc w:val="both"/>
        <w:rPr>
          <w:rFonts w:ascii="Trebuchet MS" w:hAnsi="Trebuchet MS" w:cs="Trebuchet MS"/>
          <w:sz w:val="24"/>
          <w:szCs w:val="24"/>
          <w:lang w:val="ro-RO" w:eastAsia="zh-CN"/>
        </w:rPr>
      </w:pP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eastAsia="zh-CN"/>
        </w:rPr>
        <w:t xml:space="preserve">- </w:t>
      </w:r>
      <w:r>
        <w:rPr>
          <w:rFonts w:ascii="Trebuchet MS" w:hAnsi="Trebuchet MS" w:cs="Trebuchet MS"/>
          <w:sz w:val="24"/>
          <w:szCs w:val="24"/>
          <w:lang w:val="ro-RO" w:eastAsia="zh-CN"/>
        </w:rPr>
        <w:t>art. 359, a fost modificat în sensul că, se introduce un</w:t>
      </w:r>
      <w:r>
        <w:rPr>
          <w:rFonts w:ascii="Trebuchet MS" w:hAnsi="Trebuchet MS" w:cs="Trebuchet MS"/>
          <w:sz w:val="24"/>
          <w:szCs w:val="24"/>
          <w:lang w:eastAsia="zh-CN"/>
        </w:rPr>
        <w:t xml:space="preserve"> nou articol, art. 359¹</w:t>
      </w:r>
      <w:r>
        <w:rPr>
          <w:rFonts w:ascii="Trebuchet MS" w:hAnsi="Trebuchet MS" w:cs="Trebuchet MS"/>
          <w:sz w:val="24"/>
          <w:szCs w:val="24"/>
          <w:lang w:val="ro-RO" w:eastAsia="zh-CN"/>
        </w:rPr>
        <w:t>:</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 în conformitate cu prevederile alin. (6) c</w:t>
      </w:r>
      <w:r>
        <w:rPr>
          <w:rFonts w:ascii="Trebuchet MS" w:hAnsi="Trebuchet MS" w:cs="Trebuchet MS"/>
          <w:sz w:val="24"/>
          <w:szCs w:val="24"/>
          <w:lang w:eastAsia="zh-CN"/>
        </w:rPr>
        <w:t>ompetenţele, componenţa, precum şi regulamentul de organizare şi funcţionare ale Comisiei sunt stabilite prin ordin al preşedintelui Agenţiei Naţionale de Administrare Fiscală</w:t>
      </w:r>
      <w:r>
        <w:rPr>
          <w:rFonts w:ascii="Trebuchet MS" w:hAnsi="Trebuchet MS" w:cs="Trebuchet MS"/>
          <w:sz w:val="24"/>
          <w:szCs w:val="24"/>
          <w:lang w:val="ro-RO" w:eastAsia="zh-CN"/>
        </w:rPr>
        <w:t>.</w:t>
      </w:r>
    </w:p>
    <w:p>
      <w:pPr>
        <w:pStyle w:val="13"/>
        <w:tabs>
          <w:tab w:val="right" w:pos="0"/>
          <w:tab w:val="clear" w:pos="4680"/>
          <w:tab w:val="clear" w:pos="9360"/>
        </w:tabs>
        <w:jc w:val="both"/>
        <w:rPr>
          <w:rFonts w:ascii="Trebuchet MS" w:hAnsi="Trebuchet MS" w:cs="Trebuchet MS"/>
          <w:sz w:val="24"/>
          <w:szCs w:val="24"/>
        </w:rPr>
      </w:pPr>
      <w:r>
        <w:rPr>
          <w:rFonts w:ascii="Trebuchet MS" w:hAnsi="Trebuchet MS" w:cs="Trebuchet MS"/>
          <w:sz w:val="24"/>
          <w:szCs w:val="24"/>
        </w:rPr>
        <w:tab/>
      </w:r>
    </w:p>
    <w:p>
      <w:pPr>
        <w:pStyle w:val="13"/>
        <w:tabs>
          <w:tab w:val="right" w:pos="0"/>
          <w:tab w:val="clear" w:pos="4680"/>
          <w:tab w:val="clear" w:pos="9360"/>
        </w:tabs>
        <w:jc w:val="both"/>
        <w:rPr>
          <w:rFonts w:ascii="Trebuchet MS" w:hAnsi="Trebuchet MS" w:cs="Trebuchet MS"/>
          <w:sz w:val="24"/>
          <w:szCs w:val="24"/>
          <w:lang w:val="ro-RO" w:eastAsia="zh-CN"/>
        </w:rPr>
      </w:pPr>
      <w:r>
        <w:rPr>
          <w:rFonts w:ascii="Trebuchet MS" w:hAnsi="Trebuchet MS" w:cs="Trebuchet MS"/>
          <w:sz w:val="24"/>
          <w:szCs w:val="24"/>
          <w:lang w:val="ro-RO" w:eastAsia="zh-CN"/>
        </w:rPr>
        <w:t xml:space="preserve">În data de 01 aprilie 2026 a fost publicat, în Monitorul Oficial nr. 261, </w:t>
      </w:r>
      <w:r>
        <w:rPr>
          <w:rFonts w:ascii="Trebuchet MS" w:hAnsi="Trebuchet MS" w:cs="Trebuchet MS"/>
          <w:sz w:val="24"/>
          <w:szCs w:val="24"/>
          <w:lang w:eastAsia="zh-CN"/>
        </w:rPr>
        <w:t>O</w:t>
      </w:r>
      <w:r>
        <w:rPr>
          <w:rFonts w:ascii="Trebuchet MS" w:hAnsi="Trebuchet MS" w:cs="Trebuchet MS"/>
          <w:sz w:val="24"/>
          <w:szCs w:val="24"/>
          <w:lang w:val="ro-RO" w:eastAsia="zh-CN"/>
        </w:rPr>
        <w:t>rdinul</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nr</w:t>
      </w:r>
      <w:r>
        <w:rPr>
          <w:rFonts w:ascii="Trebuchet MS" w:hAnsi="Trebuchet MS" w:cs="Trebuchet MS"/>
          <w:sz w:val="24"/>
          <w:szCs w:val="24"/>
          <w:lang w:eastAsia="zh-CN"/>
        </w:rPr>
        <w:t>. 437/2026</w:t>
      </w:r>
      <w:r>
        <w:rPr>
          <w:rFonts w:ascii="Trebuchet MS" w:hAnsi="Trebuchet MS" w:cs="Trebuchet MS"/>
          <w:sz w:val="24"/>
          <w:szCs w:val="24"/>
          <w:lang w:val="ro-RO" w:eastAsia="zh-CN"/>
        </w:rPr>
        <w:t xml:space="preserve"> </w:t>
      </w:r>
      <w:r>
        <w:rPr>
          <w:rFonts w:ascii="Trebuchet MS" w:hAnsi="Trebuchet MS" w:cs="Trebuchet MS"/>
          <w:sz w:val="24"/>
          <w:szCs w:val="24"/>
          <w:lang w:eastAsia="zh-CN"/>
        </w:rPr>
        <w:t>privind competenţele, componenţa, precum şi regulamentul de organizare şi funcţionare ale Comisiei pentru autorizarea operatorilor de produse supuse accizelor armonizate</w:t>
      </w:r>
      <w:r>
        <w:rPr>
          <w:rFonts w:ascii="Trebuchet MS" w:hAnsi="Trebuchet MS" w:cs="Trebuchet MS"/>
          <w:sz w:val="24"/>
          <w:szCs w:val="24"/>
          <w:lang w:val="ro-RO" w:eastAsia="zh-CN"/>
        </w:rPr>
        <w:t xml:space="preserve"> emis de președintele Agenției Naționale de Administrare Fiscală, denumit în continuare O.P.A.N.A.F. nr. 437/2026.</w:t>
      </w:r>
    </w:p>
    <w:p>
      <w:pPr>
        <w:pStyle w:val="13"/>
        <w:rPr>
          <w:rFonts w:ascii="Trebuchet MS" w:hAnsi="Trebuchet MS" w:cs="Trebuchet MS"/>
          <w:sz w:val="24"/>
          <w:szCs w:val="24"/>
          <w:lang w:val="ro-RO"/>
        </w:rPr>
      </w:pPr>
    </w:p>
    <w:p>
      <w:pPr>
        <w:pStyle w:val="13"/>
        <w:jc w:val="both"/>
        <w:rPr>
          <w:rFonts w:ascii="Trebuchet MS" w:hAnsi="Trebuchet MS" w:cs="Trebuchet MS"/>
          <w:i/>
          <w:iCs/>
          <w:sz w:val="24"/>
          <w:szCs w:val="24"/>
        </w:rPr>
      </w:pPr>
      <w:r>
        <w:rPr>
          <w:rFonts w:ascii="Trebuchet MS" w:hAnsi="Trebuchet MS" w:cs="Trebuchet MS"/>
          <w:sz w:val="24"/>
          <w:szCs w:val="24"/>
        </w:rPr>
        <w:t>Ulterior, astfel cum relevă a</w:t>
      </w:r>
      <w:r>
        <w:rPr>
          <w:rFonts w:ascii="Trebuchet MS" w:hAnsi="Trebuchet MS" w:cs="Trebuchet MS"/>
          <w:sz w:val="24"/>
          <w:szCs w:val="24"/>
          <w:lang w:val="ro-RO"/>
        </w:rPr>
        <w:t>dresa nr. A_AUT 1163/12.06.2026</w:t>
      </w:r>
      <w:r>
        <w:rPr>
          <w:rFonts w:ascii="Trebuchet MS" w:hAnsi="Trebuchet MS" w:cs="Trebuchet MS"/>
          <w:sz w:val="24"/>
          <w:szCs w:val="24"/>
        </w:rPr>
        <w:t>,</w:t>
      </w:r>
      <w:r>
        <w:rPr>
          <w:rFonts w:ascii="Trebuchet MS" w:hAnsi="Trebuchet MS" w:cs="Trebuchet MS"/>
          <w:sz w:val="24"/>
          <w:szCs w:val="24"/>
          <w:lang w:val="ro-RO"/>
        </w:rPr>
        <w:t xml:space="preserve"> emisă de Direcția de autorizări din cadrul Agenției Naționale de Administrare Fiscală, înregistrată la Direcția generală antifraudă fiscală din cadrul Agenției Naționale de Administrare Fiscală sub nr. A_DAF 16970/12.06.2026,</w:t>
      </w:r>
      <w:r>
        <w:rPr>
          <w:rFonts w:ascii="Trebuchet MS" w:hAnsi="Trebuchet MS" w:cs="Trebuchet MS"/>
          <w:sz w:val="24"/>
          <w:szCs w:val="24"/>
        </w:rPr>
        <w:t xml:space="preserve"> </w:t>
      </w:r>
      <w:r>
        <w:rPr>
          <w:rFonts w:ascii="Trebuchet MS" w:hAnsi="Trebuchet MS" w:cs="Trebuchet MS"/>
          <w:sz w:val="24"/>
          <w:szCs w:val="24"/>
          <w:lang w:val="ro-RO"/>
        </w:rPr>
        <w:t xml:space="preserve">s-a constatat că, în practică </w:t>
      </w:r>
      <w:r>
        <w:rPr>
          <w:rFonts w:ascii="Trebuchet MS" w:hAnsi="Trebuchet MS" w:cs="Trebuchet MS"/>
          <w:i/>
          <w:iCs/>
          <w:sz w:val="24"/>
          <w:szCs w:val="24"/>
        </w:rPr>
        <w:t>pot exista situa</w:t>
      </w:r>
      <w:r>
        <w:rPr>
          <w:rFonts w:ascii="Trebuchet MS" w:hAnsi="Trebuchet MS" w:cs="Trebuchet MS"/>
          <w:i/>
          <w:iCs/>
          <w:sz w:val="24"/>
          <w:szCs w:val="24"/>
          <w:lang w:val="ro-RO"/>
        </w:rPr>
        <w:t>ț</w:t>
      </w:r>
      <w:r>
        <w:rPr>
          <w:rFonts w:ascii="Trebuchet MS" w:hAnsi="Trebuchet MS" w:cs="Trebuchet MS"/>
          <w:i/>
          <w:iCs/>
          <w:sz w:val="24"/>
          <w:szCs w:val="24"/>
        </w:rPr>
        <w:t>ii excep</w:t>
      </w:r>
      <w:r>
        <w:rPr>
          <w:rFonts w:ascii="Trebuchet MS" w:hAnsi="Trebuchet MS" w:cs="Trebuchet MS"/>
          <w:i/>
          <w:iCs/>
          <w:sz w:val="24"/>
          <w:szCs w:val="24"/>
          <w:lang w:val="ro-RO"/>
        </w:rPr>
        <w:t>ț</w:t>
      </w:r>
      <w:r>
        <w:rPr>
          <w:rFonts w:ascii="Trebuchet MS" w:hAnsi="Trebuchet MS" w:cs="Trebuchet MS"/>
          <w:i/>
          <w:iCs/>
          <w:sz w:val="24"/>
          <w:szCs w:val="24"/>
        </w:rPr>
        <w:t xml:space="preserve">ionale </w:t>
      </w:r>
      <w:r>
        <w:rPr>
          <w:rFonts w:ascii="Trebuchet MS" w:hAnsi="Trebuchet MS" w:cs="Trebuchet MS"/>
          <w:i/>
          <w:iCs/>
          <w:sz w:val="24"/>
          <w:szCs w:val="24"/>
          <w:lang w:val="ro-RO"/>
        </w:rPr>
        <w:t>î</w:t>
      </w:r>
      <w:r>
        <w:rPr>
          <w:rFonts w:ascii="Trebuchet MS" w:hAnsi="Trebuchet MS" w:cs="Trebuchet MS"/>
          <w:i/>
          <w:iCs/>
          <w:sz w:val="24"/>
          <w:szCs w:val="24"/>
        </w:rPr>
        <w:t xml:space="preserve">n care un membru titular al Comisiei nu </w:t>
      </w:r>
      <w:r>
        <w:rPr>
          <w:rFonts w:ascii="Trebuchet MS" w:hAnsi="Trebuchet MS" w:cs="Trebuchet MS"/>
          <w:i/>
          <w:iCs/>
          <w:sz w:val="24"/>
          <w:szCs w:val="24"/>
          <w:lang w:val="ro-RO"/>
        </w:rPr>
        <w:t>îș</w:t>
      </w:r>
      <w:r>
        <w:rPr>
          <w:rFonts w:ascii="Trebuchet MS" w:hAnsi="Trebuchet MS" w:cs="Trebuchet MS"/>
          <w:i/>
          <w:iCs/>
          <w:sz w:val="24"/>
          <w:szCs w:val="24"/>
        </w:rPr>
        <w:t>i poate exercita atribu</w:t>
      </w:r>
      <w:r>
        <w:rPr>
          <w:rFonts w:ascii="Trebuchet MS" w:hAnsi="Trebuchet MS" w:cs="Trebuchet MS"/>
          <w:i/>
          <w:iCs/>
          <w:sz w:val="24"/>
          <w:szCs w:val="24"/>
          <w:lang w:val="ro-RO"/>
        </w:rPr>
        <w:t>ț</w:t>
      </w:r>
      <w:r>
        <w:rPr>
          <w:rFonts w:ascii="Trebuchet MS" w:hAnsi="Trebuchet MS" w:cs="Trebuchet MS"/>
          <w:i/>
          <w:iCs/>
          <w:sz w:val="24"/>
          <w:szCs w:val="24"/>
        </w:rPr>
        <w:t>iile de membru titular al Comisiei și nici nu poate desemna un membru supleant, a</w:t>
      </w:r>
      <w:r>
        <w:rPr>
          <w:rFonts w:ascii="Trebuchet MS" w:hAnsi="Trebuchet MS" w:cs="Trebuchet MS"/>
          <w:i/>
          <w:iCs/>
          <w:sz w:val="24"/>
          <w:szCs w:val="24"/>
          <w:lang w:val="ro-RO"/>
        </w:rPr>
        <w:t>ș</w:t>
      </w:r>
      <w:r>
        <w:rPr>
          <w:rFonts w:ascii="Trebuchet MS" w:hAnsi="Trebuchet MS" w:cs="Trebuchet MS"/>
          <w:i/>
          <w:iCs/>
          <w:sz w:val="24"/>
          <w:szCs w:val="24"/>
        </w:rPr>
        <w:t xml:space="preserve">a cum este prevăzut </w:t>
      </w:r>
      <w:r>
        <w:rPr>
          <w:rFonts w:ascii="Trebuchet MS" w:hAnsi="Trebuchet MS" w:cs="Trebuchet MS"/>
          <w:i/>
          <w:iCs/>
          <w:sz w:val="24"/>
          <w:szCs w:val="24"/>
          <w:lang w:val="ro-RO"/>
        </w:rPr>
        <w:t>î</w:t>
      </w:r>
      <w:r>
        <w:rPr>
          <w:rFonts w:ascii="Trebuchet MS" w:hAnsi="Trebuchet MS" w:cs="Trebuchet MS"/>
          <w:i/>
          <w:iCs/>
          <w:sz w:val="24"/>
          <w:szCs w:val="24"/>
        </w:rPr>
        <w:t xml:space="preserve">n prezent </w:t>
      </w:r>
      <w:r>
        <w:rPr>
          <w:rFonts w:ascii="Trebuchet MS" w:hAnsi="Trebuchet MS" w:cs="Trebuchet MS"/>
          <w:i/>
          <w:iCs/>
          <w:sz w:val="24"/>
          <w:szCs w:val="24"/>
          <w:lang w:val="ro-RO"/>
        </w:rPr>
        <w:t>î</w:t>
      </w:r>
      <w:r>
        <w:rPr>
          <w:rFonts w:ascii="Trebuchet MS" w:hAnsi="Trebuchet MS" w:cs="Trebuchet MS"/>
          <w:i/>
          <w:iCs/>
          <w:sz w:val="24"/>
          <w:szCs w:val="24"/>
        </w:rPr>
        <w:t xml:space="preserve">n </w:t>
      </w:r>
      <w:r>
        <w:rPr>
          <w:rFonts w:ascii="Trebuchet MS" w:hAnsi="Trebuchet MS" w:cs="Trebuchet MS"/>
          <w:i/>
          <w:sz w:val="24"/>
          <w:szCs w:val="24"/>
          <w:lang w:val="ro-RO" w:eastAsia="zh-CN"/>
        </w:rPr>
        <w:t>O.P.A.N.A.F. nr. 437/2026</w:t>
      </w:r>
      <w:r>
        <w:rPr>
          <w:rFonts w:ascii="Trebuchet MS" w:hAnsi="Trebuchet MS" w:cs="Trebuchet MS"/>
          <w:i/>
          <w:iCs/>
          <w:sz w:val="24"/>
          <w:szCs w:val="24"/>
        </w:rPr>
        <w:t xml:space="preserve">, fiind astfel necesar a se iniția modificarea acestuia pentru ca </w:t>
      </w:r>
      <w:r>
        <w:rPr>
          <w:rFonts w:ascii="Trebuchet MS" w:hAnsi="Trebuchet MS" w:cs="Trebuchet MS"/>
          <w:i/>
          <w:iCs/>
          <w:sz w:val="24"/>
          <w:szCs w:val="24"/>
          <w:lang w:val="ro-RO"/>
        </w:rPr>
        <w:t>ș</w:t>
      </w:r>
      <w:r>
        <w:rPr>
          <w:rFonts w:ascii="Trebuchet MS" w:hAnsi="Trebuchet MS" w:cs="Trebuchet MS"/>
          <w:i/>
          <w:iCs/>
          <w:sz w:val="24"/>
          <w:szCs w:val="24"/>
        </w:rPr>
        <w:t>edin</w:t>
      </w:r>
      <w:r>
        <w:rPr>
          <w:rFonts w:ascii="Trebuchet MS" w:hAnsi="Trebuchet MS" w:cs="Trebuchet MS"/>
          <w:i/>
          <w:iCs/>
          <w:sz w:val="24"/>
          <w:szCs w:val="24"/>
          <w:lang w:val="ro-RO"/>
        </w:rPr>
        <w:t>ț</w:t>
      </w:r>
      <w:r>
        <w:rPr>
          <w:rFonts w:ascii="Trebuchet MS" w:hAnsi="Trebuchet MS" w:cs="Trebuchet MS"/>
          <w:i/>
          <w:iCs/>
          <w:sz w:val="24"/>
          <w:szCs w:val="24"/>
        </w:rPr>
        <w:t>ele de lucru ale Comisiei s</w:t>
      </w:r>
      <w:r>
        <w:rPr>
          <w:rFonts w:ascii="Trebuchet MS" w:hAnsi="Trebuchet MS" w:cs="Trebuchet MS"/>
          <w:i/>
          <w:iCs/>
          <w:sz w:val="24"/>
          <w:szCs w:val="24"/>
          <w:lang w:val="ro-RO"/>
        </w:rPr>
        <w:t>ă</w:t>
      </w:r>
      <w:r>
        <w:rPr>
          <w:rFonts w:ascii="Trebuchet MS" w:hAnsi="Trebuchet MS" w:cs="Trebuchet MS"/>
          <w:i/>
          <w:iCs/>
          <w:sz w:val="24"/>
          <w:szCs w:val="24"/>
        </w:rPr>
        <w:t xml:space="preserve"> poat</w:t>
      </w:r>
      <w:r>
        <w:rPr>
          <w:rFonts w:ascii="Trebuchet MS" w:hAnsi="Trebuchet MS" w:cs="Trebuchet MS"/>
          <w:i/>
          <w:iCs/>
          <w:sz w:val="24"/>
          <w:szCs w:val="24"/>
          <w:lang w:val="ro-RO"/>
        </w:rPr>
        <w:t>ă</w:t>
      </w:r>
      <w:r>
        <w:rPr>
          <w:rFonts w:ascii="Trebuchet MS" w:hAnsi="Trebuchet MS" w:cs="Trebuchet MS"/>
          <w:i/>
          <w:iCs/>
          <w:sz w:val="24"/>
          <w:szCs w:val="24"/>
        </w:rPr>
        <w:t xml:space="preserve"> avea loc </w:t>
      </w:r>
      <w:r>
        <w:rPr>
          <w:rFonts w:ascii="Trebuchet MS" w:hAnsi="Trebuchet MS" w:cs="Trebuchet MS"/>
          <w:i/>
          <w:iCs/>
          <w:sz w:val="24"/>
          <w:szCs w:val="24"/>
          <w:lang w:val="ro-RO"/>
        </w:rPr>
        <w:t>î</w:t>
      </w:r>
      <w:r>
        <w:rPr>
          <w:rFonts w:ascii="Trebuchet MS" w:hAnsi="Trebuchet MS" w:cs="Trebuchet MS"/>
          <w:i/>
          <w:iCs/>
          <w:sz w:val="24"/>
          <w:szCs w:val="24"/>
        </w:rPr>
        <w:t>n formulă complet</w:t>
      </w:r>
      <w:r>
        <w:rPr>
          <w:rFonts w:ascii="Trebuchet MS" w:hAnsi="Trebuchet MS" w:cs="Trebuchet MS"/>
          <w:i/>
          <w:iCs/>
          <w:sz w:val="24"/>
          <w:szCs w:val="24"/>
          <w:lang w:val="ro-RO"/>
        </w:rPr>
        <w:t>ă</w:t>
      </w:r>
      <w:r>
        <w:rPr>
          <w:rFonts w:ascii="Trebuchet MS" w:hAnsi="Trebuchet MS" w:cs="Trebuchet MS"/>
          <w:i/>
          <w:iCs/>
          <w:sz w:val="24"/>
          <w:szCs w:val="24"/>
        </w:rPr>
        <w:t xml:space="preserve"> </w:t>
      </w:r>
      <w:r>
        <w:rPr>
          <w:rFonts w:ascii="Trebuchet MS" w:hAnsi="Trebuchet MS" w:cs="Trebuchet MS"/>
          <w:i/>
          <w:iCs/>
          <w:sz w:val="24"/>
          <w:szCs w:val="24"/>
          <w:lang w:val="ro-RO"/>
        </w:rPr>
        <w:t>ș</w:t>
      </w:r>
      <w:r>
        <w:rPr>
          <w:rFonts w:ascii="Trebuchet MS" w:hAnsi="Trebuchet MS" w:cs="Trebuchet MS"/>
          <w:i/>
          <w:iCs/>
          <w:sz w:val="24"/>
          <w:szCs w:val="24"/>
        </w:rPr>
        <w:t xml:space="preserve">i </w:t>
      </w:r>
      <w:r>
        <w:rPr>
          <w:rFonts w:ascii="Trebuchet MS" w:hAnsi="Trebuchet MS" w:cs="Trebuchet MS"/>
          <w:i/>
          <w:iCs/>
          <w:sz w:val="24"/>
          <w:szCs w:val="24"/>
          <w:lang w:val="ro-RO"/>
        </w:rPr>
        <w:t>î</w:t>
      </w:r>
      <w:r>
        <w:rPr>
          <w:rFonts w:ascii="Trebuchet MS" w:hAnsi="Trebuchet MS" w:cs="Trebuchet MS"/>
          <w:i/>
          <w:iCs/>
          <w:sz w:val="24"/>
          <w:szCs w:val="24"/>
        </w:rPr>
        <w:t xml:space="preserve">n asemenea situații, inclusiv cu participarea membrului supleant al </w:t>
      </w:r>
      <w:r>
        <w:rPr>
          <w:rFonts w:ascii="Trebuchet MS" w:hAnsi="Trebuchet MS" w:eastAsia="Times New Roman"/>
          <w:i/>
          <w:sz w:val="24"/>
          <w:szCs w:val="24"/>
        </w:rPr>
        <w:t>Autorităţii Vamale Române</w:t>
      </w:r>
      <w:r>
        <w:rPr>
          <w:rFonts w:ascii="Trebuchet MS" w:hAnsi="Trebuchet MS" w:cs="Trebuchet MS"/>
          <w:i/>
          <w:iCs/>
          <w:sz w:val="24"/>
          <w:szCs w:val="24"/>
        </w:rPr>
        <w:t>.</w:t>
      </w:r>
    </w:p>
    <w:p>
      <w:pPr>
        <w:pStyle w:val="6"/>
        <w:spacing w:after="0" w:line="240" w:lineRule="auto"/>
        <w:ind w:firstLine="720"/>
        <w:jc w:val="both"/>
        <w:rPr>
          <w:rFonts w:ascii="Trebuchet MS" w:hAnsi="Trebuchet MS" w:cs="Trebuchet MS"/>
          <w:sz w:val="24"/>
          <w:szCs w:val="24"/>
          <w:lang w:val="ro-RO" w:eastAsia="zh-CN"/>
        </w:rPr>
      </w:pPr>
    </w:p>
    <w:p>
      <w:pPr>
        <w:pStyle w:val="6"/>
        <w:spacing w:after="0" w:line="240" w:lineRule="auto"/>
        <w:jc w:val="both"/>
        <w:rPr>
          <w:rFonts w:ascii="Trebuchet MS" w:hAnsi="Trebuchet MS" w:cs="Trebuchet MS"/>
          <w:sz w:val="24"/>
          <w:szCs w:val="24"/>
          <w:lang w:eastAsia="zh-CN"/>
        </w:rPr>
      </w:pPr>
      <w:r>
        <w:rPr>
          <w:rFonts w:ascii="Trebuchet MS" w:hAnsi="Trebuchet MS" w:cs="Trebuchet MS"/>
          <w:sz w:val="24"/>
          <w:szCs w:val="24"/>
          <w:lang w:val="ro-RO" w:eastAsia="zh-CN"/>
        </w:rPr>
        <w:t xml:space="preserve">Având în vedere cele antemenționate, Direcția de autorizări și Direcția generală antifraudă fiscală, în calitate de direcții coinițiatoare, </w:t>
      </w:r>
      <w:r>
        <w:rPr>
          <w:rFonts w:ascii="Trebuchet MS" w:hAnsi="Trebuchet MS" w:cs="Trebuchet MS"/>
          <w:b/>
          <w:bCs/>
          <w:sz w:val="24"/>
          <w:szCs w:val="24"/>
          <w:lang w:val="ro-RO" w:eastAsia="zh-CN"/>
        </w:rPr>
        <w:t>propun</w:t>
      </w:r>
      <w:r>
        <w:rPr>
          <w:rFonts w:ascii="Trebuchet MS" w:hAnsi="Trebuchet MS" w:cs="Trebuchet MS"/>
          <w:b/>
          <w:bCs/>
          <w:sz w:val="24"/>
          <w:szCs w:val="24"/>
          <w:highlight w:val="white"/>
          <w:lang w:val="ro-RO"/>
        </w:rPr>
        <w:t xml:space="preserve"> modificarea </w:t>
      </w:r>
      <w:r>
        <w:rPr>
          <w:rFonts w:ascii="Trebuchet MS" w:hAnsi="Trebuchet MS" w:cs="Trebuchet MS"/>
          <w:sz w:val="24"/>
          <w:szCs w:val="24"/>
          <w:lang w:eastAsia="zh-CN"/>
        </w:rPr>
        <w:t>O</w:t>
      </w:r>
      <w:r>
        <w:rPr>
          <w:rFonts w:ascii="Trebuchet MS" w:hAnsi="Trebuchet MS" w:cs="Trebuchet MS"/>
          <w:sz w:val="24"/>
          <w:szCs w:val="24"/>
          <w:lang w:val="ro-RO" w:eastAsia="zh-CN"/>
        </w:rPr>
        <w:t>rdinul</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nr</w:t>
      </w:r>
      <w:r>
        <w:rPr>
          <w:rFonts w:ascii="Trebuchet MS" w:hAnsi="Trebuchet MS" w:cs="Trebuchet MS"/>
          <w:sz w:val="24"/>
          <w:szCs w:val="24"/>
          <w:lang w:eastAsia="zh-CN"/>
        </w:rPr>
        <w:t>. 437/2026</w:t>
      </w:r>
      <w:r>
        <w:rPr>
          <w:rFonts w:ascii="Trebuchet MS" w:hAnsi="Trebuchet MS" w:cs="Trebuchet MS"/>
          <w:sz w:val="24"/>
          <w:szCs w:val="24"/>
          <w:lang w:val="ro-RO" w:eastAsia="zh-CN"/>
        </w:rPr>
        <w:t xml:space="preserve"> </w:t>
      </w:r>
      <w:r>
        <w:rPr>
          <w:rFonts w:ascii="Trebuchet MS" w:hAnsi="Trebuchet MS" w:cs="Trebuchet MS"/>
          <w:sz w:val="24"/>
          <w:szCs w:val="24"/>
          <w:lang w:eastAsia="zh-CN"/>
        </w:rPr>
        <w:t>privind competenţele, componenţa, precum şi regulamentul de organizare şi funcţionare ale Comisiei pentru autorizarea operatorilor de produse supuse accizelor armonizate</w:t>
      </w:r>
      <w:r>
        <w:rPr>
          <w:rFonts w:ascii="Trebuchet MS" w:hAnsi="Trebuchet MS" w:cs="Trebuchet MS"/>
          <w:sz w:val="24"/>
          <w:szCs w:val="24"/>
          <w:lang w:val="ro-RO" w:eastAsia="zh-CN"/>
        </w:rPr>
        <w:t>, după cum urmează</w:t>
      </w:r>
      <w:r>
        <w:rPr>
          <w:rFonts w:ascii="Trebuchet MS" w:hAnsi="Trebuchet MS" w:cs="Trebuchet MS"/>
          <w:sz w:val="24"/>
          <w:szCs w:val="24"/>
          <w:lang w:eastAsia="zh-CN"/>
        </w:rPr>
        <w:t>:</w:t>
      </w:r>
    </w:p>
    <w:p>
      <w:pPr>
        <w:pStyle w:val="6"/>
        <w:spacing w:after="0" w:line="240" w:lineRule="auto"/>
        <w:jc w:val="both"/>
        <w:rPr>
          <w:rFonts w:ascii="Trebuchet MS" w:hAnsi="Trebuchet MS" w:cs="Trebuchet MS"/>
          <w:b/>
          <w:bCs/>
          <w:sz w:val="24"/>
          <w:szCs w:val="24"/>
          <w:lang w:val="ro-RO"/>
        </w:rPr>
      </w:pPr>
      <w:r>
        <w:rPr>
          <w:rFonts w:ascii="Trebuchet MS" w:hAnsi="Trebuchet MS" w:cs="Trebuchet MS"/>
          <w:b/>
          <w:bCs/>
          <w:sz w:val="24"/>
          <w:szCs w:val="24"/>
        </w:rPr>
        <w:t>-</w:t>
      </w:r>
      <w:r>
        <w:rPr>
          <w:rFonts w:ascii="Trebuchet MS" w:hAnsi="Trebuchet MS" w:cs="Trebuchet MS"/>
          <w:b/>
          <w:bCs/>
          <w:sz w:val="24"/>
          <w:szCs w:val="24"/>
          <w:lang w:val="ro-RO"/>
        </w:rPr>
        <w:t xml:space="preserve"> </w:t>
      </w:r>
      <w:r>
        <w:rPr>
          <w:rFonts w:ascii="Trebuchet MS" w:hAnsi="Trebuchet MS" w:cs="Trebuchet MS"/>
          <w:b/>
          <w:bCs/>
          <w:sz w:val="24"/>
          <w:szCs w:val="24"/>
        </w:rPr>
        <w:t>articolul 3 din anexa nr. 2</w:t>
      </w:r>
      <w:r>
        <w:rPr>
          <w:rFonts w:ascii="Trebuchet MS" w:hAnsi="Trebuchet MS" w:cs="Trebuchet MS"/>
          <w:b/>
          <w:bCs/>
          <w:sz w:val="24"/>
          <w:szCs w:val="24"/>
          <w:lang w:val="ro-RO"/>
        </w:rPr>
        <w:t xml:space="preserve"> se modifică cu următoarea formulare:</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eastAsia="zh-CN"/>
        </w:rPr>
        <w:t>“</w:t>
      </w:r>
      <w:r>
        <w:rPr>
          <w:rFonts w:ascii="Trebuchet MS" w:hAnsi="Trebuchet MS" w:cs="Trebuchet MS"/>
          <w:sz w:val="24"/>
          <w:szCs w:val="24"/>
          <w:lang w:val="ro-RO" w:eastAsia="zh-CN"/>
        </w:rPr>
        <w:t>În cazuri justificate, la şedinţele Comisiei, în locul membrilor titulari vor participa supleanţii acestora, după cum urmează:</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a) din partea Agenţiei Naţionale de Administrare Fiscală:</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ab/>
      </w:r>
      <w:r>
        <w:rPr>
          <w:rFonts w:ascii="Trebuchet MS" w:hAnsi="Trebuchet MS" w:cs="Trebuchet MS"/>
          <w:sz w:val="24"/>
          <w:szCs w:val="24"/>
          <w:lang w:val="ro-RO" w:eastAsia="zh-CN"/>
        </w:rPr>
        <w:t>1. vicepreşedintele Agenţiei Naţionale de Administrare Fiscală, coordonator al activităţii de control sau un alt reprezentant cu funcție de conducere, desemnat de preşedinte - preşedinte;</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ab/>
      </w:r>
      <w:r>
        <w:rPr>
          <w:rFonts w:ascii="Trebuchet MS" w:hAnsi="Trebuchet MS" w:cs="Trebuchet MS"/>
          <w:sz w:val="24"/>
          <w:szCs w:val="24"/>
          <w:lang w:val="ro-RO" w:eastAsia="zh-CN"/>
        </w:rPr>
        <w:t>2. inspectorul general adjunct antifraudă al Direcţiei generale antifraudă fiscală din cadrul Agenţiei Naţionale de Administrare Fiscală sau un alt reprezentant cu funcție de conducere din cadrul Direcţiei generale antifraudă fiscală, desemnat de inspectorul general antifraudă - membru;</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ab/>
      </w:r>
      <w:r>
        <w:rPr>
          <w:rFonts w:ascii="Trebuchet MS" w:hAnsi="Trebuchet MS" w:cs="Trebuchet MS"/>
          <w:sz w:val="24"/>
          <w:szCs w:val="24"/>
          <w:lang w:val="ro-RO" w:eastAsia="zh-CN"/>
        </w:rPr>
        <w:t>3. directorul general adjunct al Direcţiei generale de management al riscurilor din cadrul Agenţiei Naţionale de Administrare Fiscală sau un alt reprezentant cu funcție de conducere din cadrul Direcţiei generale de management al riscurilor, desemnat de  directorul general al Direcţiei generale de management al riscurilor - membru;</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ab/>
      </w:r>
      <w:r>
        <w:rPr>
          <w:rFonts w:ascii="Trebuchet MS" w:hAnsi="Trebuchet MS" w:cs="Trebuchet MS"/>
          <w:sz w:val="24"/>
          <w:szCs w:val="24"/>
          <w:lang w:val="ro-RO" w:eastAsia="zh-CN"/>
        </w:rPr>
        <w:t>4. directorul general adjunct al Direcţiei generale juridice din cadrul Agenţiei Naţionale de Administrare Fiscală sau un alt reprezentant cu funcție de conducere din cadrul Direcţiei generale juridice, desemnat de  directorul general al Direcţiei generale juridice - membru;</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ab/>
      </w:r>
      <w:r>
        <w:rPr>
          <w:rFonts w:ascii="Trebuchet MS" w:hAnsi="Trebuchet MS" w:cs="Trebuchet MS"/>
          <w:sz w:val="24"/>
          <w:szCs w:val="24"/>
          <w:lang w:val="ro-RO" w:eastAsia="zh-CN"/>
        </w:rPr>
        <w:t>5. directorul adjunct al Direcţiei de specialitate din cadrul Agenţiei Naţionale de Administrare Fiscală sau un alt reprezentant cu funcție de conducere din cadrul Direcţiei de specialitate, desemnat de  directorul direcției – membru;</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 xml:space="preserve"> b) din partea Autorităţii Vamale Române:</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 coordonatorul direcției de specialitate din domeniul produselor accizabile din cadrul Autorităţii Vamale Române sau un alt reprezentant desemnat, după caz, de președintele Autorităţii Vamale Române sau de către persoana care asigură continuitatea conducerii în situația în care acesta se află în imposibilitatea absolută a exercitării atribuțiilor -vicepreședinte;</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c) din partea Oficiului Naţional de Prevenire şi Combatere a Spălării Banilor:</w:t>
      </w:r>
    </w:p>
    <w:p>
      <w:pPr>
        <w:pStyle w:val="6"/>
        <w:spacing w:after="0" w:line="240" w:lineRule="auto"/>
        <w:jc w:val="both"/>
        <w:rPr>
          <w:rFonts w:ascii="Trebuchet MS" w:hAnsi="Trebuchet MS" w:cs="Trebuchet MS"/>
          <w:sz w:val="24"/>
          <w:szCs w:val="24"/>
          <w:lang w:val="ro-RO" w:eastAsia="zh-CN"/>
        </w:rPr>
      </w:pPr>
      <w:r>
        <w:rPr>
          <w:rFonts w:ascii="Trebuchet MS" w:hAnsi="Trebuchet MS" w:cs="Trebuchet MS"/>
          <w:sz w:val="24"/>
          <w:szCs w:val="24"/>
          <w:lang w:val="ro-RO" w:eastAsia="zh-CN"/>
        </w:rPr>
        <w:t>- un reprezentant al Oficiului Naţional de Prevenire şi Combatere a Spălării Banilor, desemnat de președinte - membru”.</w:t>
      </w:r>
    </w:p>
    <w:p>
      <w:pPr>
        <w:pStyle w:val="6"/>
        <w:spacing w:after="0" w:line="240" w:lineRule="auto"/>
        <w:jc w:val="both"/>
        <w:rPr>
          <w:rFonts w:ascii="Trebuchet MS" w:hAnsi="Trebuchet MS" w:cs="Trebuchet MS"/>
          <w:sz w:val="24"/>
          <w:szCs w:val="24"/>
          <w:lang w:val="ro-RO"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680" w:right="998" w:bottom="680" w:left="1542" w:header="0" w:footer="737" w:gutter="0"/>
      <w:cols w:space="720" w:num="1"/>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Franklin Gothic Demi">
    <w:panose1 w:val="020B0703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4312071"/>
    </w:sdtPr>
    <w:sdtContent>
      <w:p>
        <w:pPr>
          <w:pStyle w:val="13"/>
          <w:rPr>
            <w:rFonts w:ascii="Trebuchet MS" w:hAnsi="Trebuchet MS"/>
          </w:rPr>
        </w:pPr>
        <w:r>
          <w:rPr>
            <w:rFonts w:ascii="Trebuchet MS" w:hAnsi="Trebuchet MS" w:eastAsia="Franklin Gothic Demi" w:cs="Arial"/>
            <w:b/>
            <w:bCs/>
            <w:color w:val="000000"/>
            <w:sz w:val="18"/>
            <w:szCs w:val="18"/>
            <w:lang w:val="ro-RO"/>
          </w:rPr>
          <w:t>Documentul conține date cu caracter personal protejate de prevederile Regulamentului (UE) 2016/679</w:t>
        </w:r>
      </w:p>
      <w:p>
        <w:pPr>
          <w:pStyle w:val="13"/>
          <w:jc w:val="right"/>
        </w:pPr>
        <w:r>
          <w:t xml:space="preserve">Page </w:t>
        </w:r>
        <w:r>
          <w:rPr>
            <w:bCs/>
            <w:sz w:val="24"/>
            <w:szCs w:val="24"/>
          </w:rPr>
          <w:fldChar w:fldCharType="begin"/>
        </w:r>
        <w:r>
          <w:rPr>
            <w:bCs/>
            <w:sz w:val="24"/>
            <w:szCs w:val="24"/>
          </w:rPr>
          <w:instrText xml:space="preserve"> PAGE </w:instrText>
        </w:r>
        <w:r>
          <w:rPr>
            <w:bCs/>
            <w:sz w:val="24"/>
            <w:szCs w:val="24"/>
          </w:rPr>
          <w:fldChar w:fldCharType="separate"/>
        </w:r>
        <w:r>
          <w:rPr>
            <w:bCs/>
            <w:sz w:val="24"/>
            <w:szCs w:val="24"/>
          </w:rPr>
          <w:t>2</w:t>
        </w:r>
        <w:r>
          <w:rPr>
            <w:bCs/>
            <w:sz w:val="24"/>
            <w:szCs w:val="24"/>
          </w:rPr>
          <w:fldChar w:fldCharType="end"/>
        </w:r>
        <w:r>
          <w:rPr>
            <w:bCs/>
            <w:sz w:val="24"/>
            <w:szCs w:val="24"/>
          </w:rPr>
          <w:t>/</w:t>
        </w:r>
        <w:r>
          <w:rPr>
            <w:bCs/>
            <w:sz w:val="24"/>
            <w:szCs w:val="24"/>
          </w:rPr>
          <w:fldChar w:fldCharType="begin"/>
        </w:r>
        <w:r>
          <w:rPr>
            <w:bCs/>
            <w:sz w:val="24"/>
            <w:szCs w:val="24"/>
          </w:rPr>
          <w:instrText xml:space="preserve"> NUMPAGES </w:instrText>
        </w:r>
        <w:r>
          <w:rPr>
            <w:bCs/>
            <w:sz w:val="24"/>
            <w:szCs w:val="24"/>
          </w:rPr>
          <w:fldChar w:fldCharType="separate"/>
        </w:r>
        <w:r>
          <w:rPr>
            <w:bCs/>
            <w:sz w:val="24"/>
            <w:szCs w:val="24"/>
          </w:rPr>
          <w:t>2</w:t>
        </w:r>
        <w:r>
          <w:rPr>
            <w:bCs/>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PowerPlusWaterMarkObject6820408" o:spid="_x0000_s2051" o:spt="136" type="#_x0000_t136" style="position:absolute;left:0pt;height:146.7pt;width:513.5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focussize="0,0"/>
          <v:stroke on="f"/>
          <v:imagedata o:title=""/>
          <o:lock v:ext="edit"/>
          <v:textpath on="t" fitpath="t" trim="f" xscale="f" string="PROIECT" style="font-family:Trebuchet MS;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PowerPlusWaterMarkObject6820407" o:spid="_x0000_s2050" o:spt="136" type="#_x0000_t136" style="position:absolute;left:0pt;height:146.7pt;width:513.5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focussize="0,0"/>
          <v:stroke on="f"/>
          <v:imagedata o:title=""/>
          <o:lock v:ext="edit"/>
          <v:textpath on="t" fitpath="t" trim="f" xscale="f" string="PROIECT" style="font-family:Trebuchet MS;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PowerPlusWaterMarkObject6820406" o:spid="_x0000_s2049" o:spt="136" type="#_x0000_t136" style="position:absolute;left:0pt;height:146.7pt;width:513.5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PROIECT" style="font-family:Trebuchet MS;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autoHyphenation/>
  <w:characterSpacingControl w:val="doNotCompress"/>
  <w:hdrShapeDefaults>
    <o:shapelayout v:ext="edit">
      <o:idmap v:ext="edit" data="2"/>
    </o:shapelayout>
  </w:hdrShapeDefault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F4"/>
    <w:rsid w:val="000C7CC2"/>
    <w:rsid w:val="000D2415"/>
    <w:rsid w:val="00172A27"/>
    <w:rsid w:val="001A2BCA"/>
    <w:rsid w:val="001B4910"/>
    <w:rsid w:val="001F3353"/>
    <w:rsid w:val="00211EC7"/>
    <w:rsid w:val="002228D3"/>
    <w:rsid w:val="002C20A3"/>
    <w:rsid w:val="002D0B70"/>
    <w:rsid w:val="002E1E57"/>
    <w:rsid w:val="00331348"/>
    <w:rsid w:val="003708B5"/>
    <w:rsid w:val="003C0457"/>
    <w:rsid w:val="0041682F"/>
    <w:rsid w:val="00432B56"/>
    <w:rsid w:val="00434AF1"/>
    <w:rsid w:val="00442C09"/>
    <w:rsid w:val="00472BB1"/>
    <w:rsid w:val="005019D1"/>
    <w:rsid w:val="00544F90"/>
    <w:rsid w:val="005504BB"/>
    <w:rsid w:val="0055573C"/>
    <w:rsid w:val="00574D50"/>
    <w:rsid w:val="00576017"/>
    <w:rsid w:val="005864BF"/>
    <w:rsid w:val="005B4D3C"/>
    <w:rsid w:val="005D5D05"/>
    <w:rsid w:val="006A4B27"/>
    <w:rsid w:val="006D0B0C"/>
    <w:rsid w:val="00712417"/>
    <w:rsid w:val="00766F1D"/>
    <w:rsid w:val="0078164C"/>
    <w:rsid w:val="0079685F"/>
    <w:rsid w:val="007C5FE7"/>
    <w:rsid w:val="00813A01"/>
    <w:rsid w:val="008851BA"/>
    <w:rsid w:val="008C5808"/>
    <w:rsid w:val="009634AC"/>
    <w:rsid w:val="00980097"/>
    <w:rsid w:val="009C46C9"/>
    <w:rsid w:val="009E5D37"/>
    <w:rsid w:val="00A17EC4"/>
    <w:rsid w:val="00AB5ACB"/>
    <w:rsid w:val="00AE5E1F"/>
    <w:rsid w:val="00AF7F29"/>
    <w:rsid w:val="00B90745"/>
    <w:rsid w:val="00C44D16"/>
    <w:rsid w:val="00C51CAE"/>
    <w:rsid w:val="00C61379"/>
    <w:rsid w:val="00D20E7F"/>
    <w:rsid w:val="00D44FF2"/>
    <w:rsid w:val="00D4516C"/>
    <w:rsid w:val="00D4776D"/>
    <w:rsid w:val="00DB2BAC"/>
    <w:rsid w:val="00DD085D"/>
    <w:rsid w:val="00E30997"/>
    <w:rsid w:val="00E351E5"/>
    <w:rsid w:val="00EB7EF9"/>
    <w:rsid w:val="00EC1322"/>
    <w:rsid w:val="00EC2E0E"/>
    <w:rsid w:val="00F10BE9"/>
    <w:rsid w:val="00F31451"/>
    <w:rsid w:val="00F43429"/>
    <w:rsid w:val="00F51C42"/>
    <w:rsid w:val="00FE273A"/>
    <w:rsid w:val="08D44FAE"/>
    <w:rsid w:val="0D1F45F4"/>
    <w:rsid w:val="0DC927C5"/>
    <w:rsid w:val="2B573DD9"/>
    <w:rsid w:val="2F5455F2"/>
    <w:rsid w:val="32D53D4F"/>
    <w:rsid w:val="358B528C"/>
    <w:rsid w:val="37DE37A3"/>
    <w:rsid w:val="38F95AD5"/>
    <w:rsid w:val="3BFB3C08"/>
    <w:rsid w:val="3DE75504"/>
    <w:rsid w:val="40E27366"/>
    <w:rsid w:val="42806E44"/>
    <w:rsid w:val="47995842"/>
    <w:rsid w:val="4AB47F64"/>
    <w:rsid w:val="4BBC5871"/>
    <w:rsid w:val="511D6693"/>
    <w:rsid w:val="564B6459"/>
    <w:rsid w:val="5E631FC4"/>
    <w:rsid w:val="5ECF0399"/>
    <w:rsid w:val="6052684E"/>
    <w:rsid w:val="623F3978"/>
    <w:rsid w:val="6AC928CC"/>
    <w:rsid w:val="6D446B49"/>
    <w:rsid w:val="705D1EC9"/>
    <w:rsid w:val="735A373A"/>
    <w:rsid w:val="738F3D67"/>
    <w:rsid w:val="77A6423C"/>
    <w:rsid w:val="7A0003BB"/>
    <w:rsid w:val="7E625CA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sz w:val="32"/>
      <w:szCs w:val="32"/>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25"/>
    <w:semiHidden/>
    <w:unhideWhenUsed/>
    <w:qFormat/>
    <w:uiPriority w:val="99"/>
    <w:pPr>
      <w:spacing w:after="0" w:line="240" w:lineRule="auto"/>
    </w:pPr>
    <w:rPr>
      <w:rFonts w:ascii="Segoe UI" w:hAnsi="Segoe UI" w:cs="Segoe UI"/>
      <w:sz w:val="18"/>
      <w:szCs w:val="18"/>
    </w:rPr>
  </w:style>
  <w:style w:type="paragraph" w:styleId="6">
    <w:name w:val="Body Text"/>
    <w:basedOn w:val="1"/>
    <w:qFormat/>
    <w:uiPriority w:val="0"/>
    <w:pPr>
      <w:spacing w:after="140" w:line="276" w:lineRule="auto"/>
    </w:pPr>
  </w:style>
  <w:style w:type="paragraph" w:styleId="7">
    <w:name w:val="caption"/>
    <w:basedOn w:val="1"/>
    <w:next w:val="1"/>
    <w:qFormat/>
    <w:uiPriority w:val="0"/>
    <w:pPr>
      <w:suppressLineNumbers/>
      <w:spacing w:before="120" w:after="120"/>
    </w:pPr>
    <w:rPr>
      <w:rFonts w:cs="Arial"/>
      <w:i/>
      <w:iCs/>
      <w:sz w:val="24"/>
      <w:szCs w:val="24"/>
    </w:rPr>
  </w:style>
  <w:style w:type="character" w:styleId="8">
    <w:name w:val="annotation reference"/>
    <w:basedOn w:val="3"/>
    <w:semiHidden/>
    <w:unhideWhenUsed/>
    <w:uiPriority w:val="99"/>
    <w:rPr>
      <w:sz w:val="16"/>
      <w:szCs w:val="16"/>
    </w:rPr>
  </w:style>
  <w:style w:type="paragraph" w:styleId="9">
    <w:name w:val="annotation text"/>
    <w:basedOn w:val="1"/>
    <w:link w:val="27"/>
    <w:semiHidden/>
    <w:unhideWhenUsed/>
    <w:qFormat/>
    <w:uiPriority w:val="99"/>
    <w:pPr>
      <w:spacing w:line="240" w:lineRule="auto"/>
    </w:pPr>
    <w:rPr>
      <w:sz w:val="20"/>
      <w:szCs w:val="20"/>
    </w:rPr>
  </w:style>
  <w:style w:type="paragraph" w:styleId="10">
    <w:name w:val="annotation subject"/>
    <w:basedOn w:val="9"/>
    <w:next w:val="9"/>
    <w:link w:val="28"/>
    <w:semiHidden/>
    <w:unhideWhenUsed/>
    <w:qFormat/>
    <w:uiPriority w:val="99"/>
    <w:rPr>
      <w:b/>
      <w:bCs/>
    </w:rPr>
  </w:style>
  <w:style w:type="character" w:styleId="11">
    <w:name w:val="Emphasis"/>
    <w:qFormat/>
    <w:uiPriority w:val="0"/>
    <w:rPr>
      <w:i/>
      <w:iCs/>
    </w:rPr>
  </w:style>
  <w:style w:type="character" w:styleId="12">
    <w:name w:val="FollowedHyperlink"/>
    <w:basedOn w:val="3"/>
    <w:semiHidden/>
    <w:unhideWhenUsed/>
    <w:qFormat/>
    <w:uiPriority w:val="99"/>
    <w:rPr>
      <w:color w:val="800000"/>
      <w:u w:val="single"/>
    </w:rPr>
  </w:style>
  <w:style w:type="paragraph" w:styleId="13">
    <w:name w:val="footer"/>
    <w:basedOn w:val="1"/>
    <w:link w:val="19"/>
    <w:unhideWhenUsed/>
    <w:qFormat/>
    <w:uiPriority w:val="99"/>
    <w:pPr>
      <w:tabs>
        <w:tab w:val="center" w:pos="4680"/>
        <w:tab w:val="right" w:pos="9360"/>
      </w:tabs>
      <w:spacing w:after="0" w:line="240" w:lineRule="auto"/>
    </w:pPr>
  </w:style>
  <w:style w:type="paragraph" w:styleId="14">
    <w:name w:val="header"/>
    <w:basedOn w:val="1"/>
    <w:link w:val="18"/>
    <w:unhideWhenUsed/>
    <w:qFormat/>
    <w:uiPriority w:val="99"/>
    <w:pPr>
      <w:tabs>
        <w:tab w:val="center" w:pos="4680"/>
        <w:tab w:val="right" w:pos="9360"/>
      </w:tabs>
      <w:spacing w:after="0" w:line="240" w:lineRule="auto"/>
    </w:pPr>
  </w:style>
  <w:style w:type="paragraph" w:styleId="15">
    <w:name w:val="List"/>
    <w:basedOn w:val="6"/>
    <w:qFormat/>
    <w:uiPriority w:val="0"/>
    <w:rPr>
      <w:rFonts w:cs="Arial"/>
    </w:rPr>
  </w:style>
  <w:style w:type="paragraph" w:styleId="16">
    <w:name w:val="Normal (Web)"/>
    <w:unhideWhenUsed/>
    <w:qFormat/>
    <w:uiPriority w:val="99"/>
    <w:pPr>
      <w:widowControl w:val="0"/>
      <w:suppressAutoHyphens/>
      <w:spacing w:beforeAutospacing="1" w:after="0" w:line="259" w:lineRule="auto"/>
    </w:pPr>
    <w:rPr>
      <w:rFonts w:ascii="Times New Roman" w:hAnsi="Times New Roman" w:eastAsia="SimSun" w:cs="Times New Roman"/>
      <w:sz w:val="24"/>
      <w:szCs w:val="24"/>
      <w:lang w:val="en-US" w:eastAsia="zh-CN" w:bidi="ar-SA"/>
    </w:rPr>
  </w:style>
  <w:style w:type="character" w:customStyle="1" w:styleId="17">
    <w:name w:val="Hyperlink1"/>
    <w:basedOn w:val="3"/>
    <w:unhideWhenUsed/>
    <w:qFormat/>
    <w:uiPriority w:val="99"/>
    <w:rPr>
      <w:color w:val="0563C1" w:themeColor="hyperlink"/>
      <w:u w:val="single"/>
      <w14:textFill>
        <w14:solidFill>
          <w14:schemeClr w14:val="hlink"/>
        </w14:solidFill>
      </w14:textFill>
    </w:rPr>
  </w:style>
  <w:style w:type="character" w:customStyle="1" w:styleId="18">
    <w:name w:val="Header Char"/>
    <w:basedOn w:val="3"/>
    <w:link w:val="14"/>
    <w:qFormat/>
    <w:uiPriority w:val="99"/>
  </w:style>
  <w:style w:type="character" w:customStyle="1" w:styleId="19">
    <w:name w:val="Footer Char"/>
    <w:basedOn w:val="3"/>
    <w:link w:val="13"/>
    <w:qFormat/>
    <w:uiPriority w:val="99"/>
  </w:style>
  <w:style w:type="paragraph" w:customStyle="1" w:styleId="20">
    <w:name w:val="Heading"/>
    <w:basedOn w:val="1"/>
    <w:next w:val="6"/>
    <w:qFormat/>
    <w:uiPriority w:val="0"/>
    <w:pPr>
      <w:keepNext/>
      <w:spacing w:before="240" w:after="120"/>
    </w:pPr>
    <w:rPr>
      <w:rFonts w:ascii="Liberation Sans" w:hAnsi="Liberation Sans" w:eastAsia="Microsoft YaHei" w:cs="Arial"/>
      <w:sz w:val="28"/>
      <w:szCs w:val="28"/>
    </w:rPr>
  </w:style>
  <w:style w:type="paragraph" w:customStyle="1" w:styleId="21">
    <w:name w:val="Index"/>
    <w:basedOn w:val="1"/>
    <w:qFormat/>
    <w:uiPriority w:val="0"/>
    <w:pPr>
      <w:suppressLineNumbers/>
    </w:pPr>
    <w:rPr>
      <w:rFonts w:cs="Arial"/>
    </w:rPr>
  </w:style>
  <w:style w:type="paragraph" w:customStyle="1" w:styleId="22">
    <w:name w:val="Header and Footer"/>
    <w:basedOn w:val="1"/>
    <w:qFormat/>
    <w:uiPriority w:val="0"/>
  </w:style>
  <w:style w:type="paragraph" w:customStyle="1" w:styleId="23">
    <w:name w:val="Caracter Caracter"/>
    <w:basedOn w:val="1"/>
    <w:qFormat/>
    <w:uiPriority w:val="0"/>
    <w:pPr>
      <w:spacing w:after="0" w:line="240" w:lineRule="auto"/>
    </w:pPr>
    <w:rPr>
      <w:rFonts w:ascii="Times New Roman" w:hAnsi="Times New Roman" w:eastAsia="Times New Roman" w:cs="Times New Roman"/>
      <w:sz w:val="24"/>
      <w:szCs w:val="24"/>
      <w:lang w:val="pl-PL" w:eastAsia="pl-PL"/>
    </w:rPr>
  </w:style>
  <w:style w:type="paragraph" w:customStyle="1" w:styleId="24">
    <w:name w:val="Frame Contents"/>
    <w:basedOn w:val="1"/>
    <w:qFormat/>
    <w:uiPriority w:val="0"/>
  </w:style>
  <w:style w:type="character" w:customStyle="1" w:styleId="25">
    <w:name w:val="Balloon Text Char"/>
    <w:basedOn w:val="3"/>
    <w:link w:val="5"/>
    <w:semiHidden/>
    <w:qFormat/>
    <w:uiPriority w:val="99"/>
    <w:rPr>
      <w:rFonts w:ascii="Segoe UI" w:hAnsi="Segoe UI" w:cs="Segoe UI" w:eastAsiaTheme="minorHAnsi"/>
      <w:sz w:val="18"/>
      <w:szCs w:val="18"/>
    </w:rPr>
  </w:style>
  <w:style w:type="character" w:customStyle="1" w:styleId="26">
    <w:name w:val="Body Text Char"/>
    <w:basedOn w:val="3"/>
    <w:qFormat/>
    <w:uiPriority w:val="0"/>
  </w:style>
  <w:style w:type="character" w:customStyle="1" w:styleId="27">
    <w:name w:val="Comment Text Char"/>
    <w:basedOn w:val="3"/>
    <w:link w:val="9"/>
    <w:semiHidden/>
    <w:qFormat/>
    <w:uiPriority w:val="99"/>
    <w:rPr>
      <w:rFonts w:asciiTheme="minorHAnsi" w:hAnsiTheme="minorHAnsi" w:eastAsiaTheme="minorHAnsi" w:cstheme="minorBidi"/>
    </w:rPr>
  </w:style>
  <w:style w:type="character" w:customStyle="1" w:styleId="28">
    <w:name w:val="Comment Subject Char"/>
    <w:basedOn w:val="27"/>
    <w:link w:val="10"/>
    <w:semiHidden/>
    <w:qFormat/>
    <w:uiPriority w:val="99"/>
    <w:rPr>
      <w:rFonts w:asciiTheme="minorHAnsi" w:hAnsiTheme="minorHAnsi" w:eastAsiaTheme="minorHAnsi" w:cstheme="minorBidi"/>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2</Pages>
  <Words>711</Words>
  <Characters>4053</Characters>
  <Lines>33</Lines>
  <Paragraphs>9</Paragraphs>
  <TotalTime>1</TotalTime>
  <ScaleCrop>false</ScaleCrop>
  <LinksUpToDate>false</LinksUpToDate>
  <CharactersWithSpaces>4755</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2026-06-17T09:01:00Z</dcterms:created>
  <dc:creator>CRISTIAN-NICOLAE MARIN</dc:creator>
  <cp:lastModifiedBy>80063398</cp:lastModifiedBy>
  <cp:lastPrinted>2026-06-16T14:54:00Z</cp:lastPrinted>
  <dcterms:modified xsi:type="dcterms:W3CDTF">2026-06-17T11:05:09Z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1033-11.2.0.10463</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y fmtid="{D5CDD505-2E9C-101B-9397-08002B2CF9AE}" pid="7" name="ICV">
    <vt:lpwstr>64C8B069A54347CC8CF17AB98D45DABF</vt:lpwstr>
  </property>
</Properties>
</file>