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rajan Pro" w:hAnsi="Trajan Pro"/>
          <w:b/>
          <w:sz w:val="28"/>
          <w:szCs w:val="28"/>
        </w:rPr>
      </w:pPr>
      <w:r>
        <w:drawing>
          <wp:anchor distT="0" distB="0" distL="114300" distR="114300" simplePos="0" relativeHeight="251659264" behindDoc="0" locked="0" layoutInCell="1" allowOverlap="1">
            <wp:simplePos x="0" y="0"/>
            <wp:positionH relativeFrom="column">
              <wp:posOffset>-807720</wp:posOffset>
            </wp:positionH>
            <wp:positionV relativeFrom="margin">
              <wp:posOffset>-185420</wp:posOffset>
            </wp:positionV>
            <wp:extent cx="899795" cy="899795"/>
            <wp:effectExtent l="0" t="0" r="0" b="0"/>
            <wp:wrapTight wrapText="bothSides">
              <wp:wrapPolygon>
                <wp:start x="6402" y="0"/>
                <wp:lineTo x="3201" y="1829"/>
                <wp:lineTo x="0" y="5488"/>
                <wp:lineTo x="0" y="16006"/>
                <wp:lineTo x="5030" y="21036"/>
                <wp:lineTo x="6402" y="21036"/>
                <wp:lineTo x="14634" y="21036"/>
                <wp:lineTo x="16006" y="21036"/>
                <wp:lineTo x="21036" y="16006"/>
                <wp:lineTo x="21036" y="5488"/>
                <wp:lineTo x="17835" y="1829"/>
                <wp:lineTo x="14634" y="0"/>
                <wp:lineTo x="6402"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7"/>
                    <a:stretch>
                      <a:fillRect/>
                    </a:stretch>
                  </pic:blipFill>
                  <pic:spPr>
                    <a:xfrm>
                      <a:off x="0" y="0"/>
                      <a:ext cx="899795" cy="899795"/>
                    </a:xfrm>
                    <a:prstGeom prst="rect">
                      <a:avLst/>
                    </a:prstGeom>
                  </pic:spPr>
                </pic:pic>
              </a:graphicData>
            </a:graphic>
          </wp:anchor>
        </w:drawing>
      </w:r>
      <w:r>
        <w:drawing>
          <wp:anchor distT="0" distB="0" distL="0" distR="0" simplePos="0" relativeHeight="251660288" behindDoc="0" locked="0" layoutInCell="1" allowOverlap="1">
            <wp:simplePos x="0" y="0"/>
            <wp:positionH relativeFrom="column">
              <wp:posOffset>4036695</wp:posOffset>
            </wp:positionH>
            <wp:positionV relativeFrom="paragraph">
              <wp:posOffset>31115</wp:posOffset>
            </wp:positionV>
            <wp:extent cx="194818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8"/>
                    <a:srcRect l="8895" t="37459" r="12559" b="37552"/>
                    <a:stretch>
                      <a:fillRect/>
                    </a:stretch>
                  </pic:blipFill>
                  <pic:spPr>
                    <a:xfrm>
                      <a:off x="0" y="0"/>
                      <a:ext cx="1948180" cy="686435"/>
                    </a:xfrm>
                    <a:prstGeom prst="rect">
                      <a:avLst/>
                    </a:prstGeom>
                  </pic:spPr>
                </pic:pic>
              </a:graphicData>
            </a:graphic>
          </wp:anchor>
        </w:drawing>
      </w:r>
      <w:r>
        <w:rPr>
          <w:rFonts w:ascii="Trajan Pro" w:hAnsi="Trajan Pro"/>
          <w:b/>
          <w:sz w:val="28"/>
          <w:szCs w:val="28"/>
        </w:rPr>
        <w:t xml:space="preserve">MINISTERUL FINANȚELOR       </w:t>
      </w:r>
    </w:p>
    <w:p>
      <w:pPr>
        <w:spacing w:after="46"/>
        <w:rPr>
          <w:rFonts w:ascii="Trebuchet MS" w:hAnsi="Trebuchet MS"/>
          <w:b/>
          <w:sz w:val="24"/>
          <w:szCs w:val="24"/>
          <w:lang w:val="ro-RO"/>
        </w:rPr>
      </w:pPr>
      <w:r>
        <w:rPr>
          <w:rFonts w:ascii="Trebuchet MS" w:hAnsi="Trebuchet MS"/>
          <w:b/>
          <w:sz w:val="24"/>
          <w:szCs w:val="24"/>
        </w:rPr>
        <w:t>Agen</w:t>
      </w:r>
      <w:r>
        <w:rPr>
          <w:rFonts w:ascii="Trebuchet MS" w:hAnsi="Trebuchet MS"/>
          <w:b/>
          <w:sz w:val="24"/>
          <w:szCs w:val="24"/>
          <w:lang w:val="ro-RO"/>
        </w:rPr>
        <w:t>ția Națională de Administrare Fiscală</w:t>
      </w:r>
    </w:p>
    <w:p>
      <w:pPr>
        <w:spacing w:after="40" w:line="240" w:lineRule="auto"/>
        <w:rPr>
          <w:rFonts w:ascii="Trebuchet MS" w:hAnsi="Trebuchet MS"/>
          <w:b/>
          <w:sz w:val="24"/>
          <w:szCs w:val="24"/>
        </w:rPr>
      </w:pPr>
      <w:r>
        <w:rPr>
          <w:rFonts w:ascii="Trebuchet MS" w:hAnsi="Trebuchet MS"/>
          <w:b/>
          <w:sz w:val="24"/>
          <w:szCs w:val="24"/>
        </w:rPr>
        <w:t xml:space="preserve"> </w:t>
      </w:r>
    </w:p>
    <w:p>
      <w:pPr>
        <w:spacing w:after="40" w:line="240" w:lineRule="auto"/>
        <w:rPr>
          <w:rFonts w:ascii="Trebuchet MS" w:hAnsi="Trebuchet MS"/>
          <w:b/>
          <w:sz w:val="24"/>
          <w:szCs w:val="24"/>
        </w:rPr>
      </w:pPr>
    </w:p>
    <w:p>
      <w:pPr>
        <w:spacing w:after="40" w:line="240" w:lineRule="auto"/>
        <w:rPr>
          <w:rFonts w:ascii="Trebuchet MS" w:hAnsi="Trebuchet MS"/>
          <w:b/>
          <w:sz w:val="24"/>
          <w:szCs w:val="24"/>
        </w:rPr>
      </w:pPr>
    </w:p>
    <w:p>
      <w:pPr>
        <w:spacing w:after="40" w:line="240" w:lineRule="auto"/>
        <w:ind w:left="361" w:hanging="360" w:hangingChars="600"/>
        <w:jc w:val="both"/>
        <w:rPr>
          <w:rFonts w:ascii="Trebuchet MS" w:hAnsi="Trebuchet MS" w:cs="Arial"/>
          <w:b/>
          <w:bCs/>
          <w:sz w:val="6"/>
          <w:szCs w:val="6"/>
          <w:lang w:val="pt-BR"/>
        </w:rPr>
      </w:pPr>
    </w:p>
    <w:p>
      <w:pPr>
        <w:pStyle w:val="22"/>
        <w:spacing w:after="0" w:line="240" w:lineRule="auto"/>
        <w:ind w:right="-178" w:rightChars="-81"/>
        <w:jc w:val="center"/>
        <w:rPr>
          <w:rFonts w:ascii="Trebuchet MS" w:hAnsi="Trebuchet MS" w:cs="Arial"/>
          <w:b/>
          <w:bCs/>
          <w:sz w:val="24"/>
          <w:szCs w:val="24"/>
        </w:rPr>
      </w:pPr>
      <w:r>
        <w:rPr>
          <w:rFonts w:ascii="Trebuchet MS" w:hAnsi="Trebuchet MS" w:cs="Arial"/>
          <w:b/>
          <w:bCs/>
          <w:sz w:val="24"/>
          <w:szCs w:val="24"/>
        </w:rPr>
        <w:t>REFERAT</w:t>
      </w:r>
    </w:p>
    <w:p>
      <w:pPr>
        <w:pStyle w:val="22"/>
        <w:spacing w:after="0" w:line="240" w:lineRule="auto"/>
        <w:ind w:right="-178" w:rightChars="-81"/>
        <w:jc w:val="center"/>
        <w:rPr>
          <w:rFonts w:ascii="Trebuchet MS" w:hAnsi="Trebuchet MS" w:cs="Arial"/>
          <w:b/>
          <w:bCs/>
          <w:sz w:val="24"/>
          <w:szCs w:val="24"/>
          <w:lang w:val="ro-RO"/>
        </w:rPr>
      </w:pPr>
      <w:r>
        <w:rPr>
          <w:rFonts w:ascii="Trebuchet MS" w:hAnsi="Trebuchet MS" w:cs="Arial"/>
          <w:b/>
          <w:bCs/>
          <w:sz w:val="24"/>
          <w:szCs w:val="24"/>
        </w:rPr>
        <w:t xml:space="preserve">de aprobare a </w:t>
      </w:r>
      <w:r>
        <w:rPr>
          <w:rFonts w:ascii="Trebuchet MS" w:hAnsi="Trebuchet MS" w:cs="Arial"/>
          <w:b/>
          <w:bCs/>
          <w:sz w:val="24"/>
          <w:szCs w:val="24"/>
          <w:lang w:val="pt-BR"/>
        </w:rPr>
        <w:t>proiect</w:t>
      </w:r>
      <w:r>
        <w:rPr>
          <w:rFonts w:ascii="Trebuchet MS" w:hAnsi="Trebuchet MS" w:cs="Arial"/>
          <w:b/>
          <w:bCs/>
          <w:sz w:val="24"/>
          <w:szCs w:val="24"/>
        </w:rPr>
        <w:t>ului</w:t>
      </w:r>
      <w:r>
        <w:rPr>
          <w:rFonts w:ascii="Trebuchet MS" w:hAnsi="Trebuchet MS" w:cs="Arial"/>
          <w:b/>
          <w:bCs/>
          <w:sz w:val="24"/>
          <w:szCs w:val="24"/>
          <w:lang w:val="pt-BR"/>
        </w:rPr>
        <w:t xml:space="preserve"> </w:t>
      </w:r>
      <w:r>
        <w:rPr>
          <w:rFonts w:ascii="Trebuchet MS" w:hAnsi="Trebuchet MS" w:cs="Arial"/>
          <w:b/>
          <w:bCs/>
          <w:sz w:val="24"/>
          <w:szCs w:val="24"/>
          <w:lang w:val="ro-RO"/>
        </w:rPr>
        <w:t xml:space="preserve">de </w:t>
      </w:r>
      <w:r>
        <w:rPr>
          <w:rFonts w:ascii="Trebuchet MS" w:hAnsi="Trebuchet MS" w:cs="Arial"/>
          <w:b/>
          <w:bCs/>
          <w:sz w:val="24"/>
          <w:szCs w:val="24"/>
          <w:lang w:val="pt-BR"/>
        </w:rPr>
        <w:t xml:space="preserve">ordin </w:t>
      </w:r>
      <w:r>
        <w:rPr>
          <w:rFonts w:ascii="Trebuchet MS" w:hAnsi="Trebuchet MS" w:cs="Arial"/>
          <w:b/>
          <w:bCs/>
          <w:sz w:val="24"/>
          <w:szCs w:val="24"/>
          <w:lang w:val="ro-RO"/>
        </w:rPr>
        <w:t>al președintelui Agenției Naționale de</w:t>
      </w:r>
      <w:r>
        <w:rPr>
          <w:rFonts w:ascii="Trebuchet MS" w:hAnsi="Trebuchet MS" w:cs="Arial"/>
          <w:b/>
          <w:bCs/>
          <w:sz w:val="24"/>
          <w:szCs w:val="24"/>
        </w:rPr>
        <w:t xml:space="preserve"> </w:t>
      </w:r>
      <w:r>
        <w:rPr>
          <w:rFonts w:ascii="Trebuchet MS" w:hAnsi="Trebuchet MS" w:cs="Arial"/>
          <w:b/>
          <w:bCs/>
          <w:sz w:val="24"/>
          <w:szCs w:val="24"/>
          <w:lang w:val="ro-RO"/>
        </w:rPr>
        <w:t>Administrare Fiscală</w:t>
      </w:r>
      <w:r>
        <w:rPr>
          <w:rFonts w:ascii="Trebuchet MS" w:hAnsi="Trebuchet MS" w:cs="Arial"/>
          <w:b/>
          <w:bCs/>
          <w:sz w:val="24"/>
          <w:szCs w:val="24"/>
        </w:rPr>
        <w:t xml:space="preserve"> </w:t>
      </w:r>
      <w:r>
        <w:rPr>
          <w:rFonts w:ascii="Trebuchet MS" w:hAnsi="Trebuchet MS" w:cs="Arial"/>
          <w:b/>
          <w:bCs/>
          <w:sz w:val="24"/>
          <w:szCs w:val="24"/>
          <w:lang w:val="ro-RO"/>
        </w:rPr>
        <w:t>p</w:t>
      </w:r>
      <w:r>
        <w:rPr>
          <w:rFonts w:ascii="Trebuchet MS" w:hAnsi="Trebuchet MS" w:cs="Arial"/>
          <w:b/>
          <w:bCs/>
          <w:sz w:val="24"/>
          <w:szCs w:val="24"/>
        </w:rPr>
        <w:t>rivind</w:t>
      </w:r>
      <w:r>
        <w:rPr>
          <w:rFonts w:ascii="Trebuchet MS" w:hAnsi="Trebuchet MS" w:cs="Arial"/>
          <w:b/>
          <w:bCs/>
          <w:sz w:val="24"/>
          <w:szCs w:val="24"/>
          <w:lang w:val="ro-RO"/>
        </w:rPr>
        <w:t xml:space="preserve"> modificarea și</w:t>
      </w:r>
      <w:r>
        <w:rPr>
          <w:rFonts w:ascii="Trebuchet MS" w:hAnsi="Trebuchet MS" w:cs="Arial"/>
          <w:b/>
          <w:bCs/>
          <w:sz w:val="24"/>
          <w:szCs w:val="24"/>
        </w:rPr>
        <w:t xml:space="preserve"> </w:t>
      </w:r>
      <w:r>
        <w:rPr>
          <w:rFonts w:ascii="Trebuchet MS" w:hAnsi="Trebuchet MS" w:cs="Arial"/>
          <w:b/>
          <w:bCs/>
          <w:sz w:val="24"/>
          <w:szCs w:val="24"/>
          <w:lang w:val="ro-RO"/>
        </w:rPr>
        <w:t>completarea Ordinului președintelui Agenției Naționale de Administrare Fiscală nr.587/2016 pentru aprobarea modelului şi conţinutului formularelor utilizate pentru declararea impozitelor şi taxelor cu regim de</w:t>
      </w:r>
      <w:r>
        <w:rPr>
          <w:rFonts w:ascii="Trebuchet MS" w:hAnsi="Trebuchet MS" w:cs="Arial"/>
          <w:b/>
          <w:bCs/>
          <w:sz w:val="24"/>
          <w:szCs w:val="24"/>
        </w:rPr>
        <w:t xml:space="preserve"> </w:t>
      </w:r>
      <w:r>
        <w:rPr>
          <w:rFonts w:ascii="Trebuchet MS" w:hAnsi="Trebuchet MS" w:cs="Arial"/>
          <w:b/>
          <w:bCs/>
          <w:sz w:val="24"/>
          <w:szCs w:val="24"/>
          <w:lang w:val="ro-RO"/>
        </w:rPr>
        <w:t>stabilire prin autoimpunere sau reţinere la</w:t>
      </w:r>
      <w:r>
        <w:rPr>
          <w:rFonts w:ascii="Trebuchet MS" w:hAnsi="Trebuchet MS" w:cs="Arial"/>
          <w:b/>
          <w:bCs/>
          <w:sz w:val="24"/>
          <w:szCs w:val="24"/>
        </w:rPr>
        <w:t xml:space="preserve"> </w:t>
      </w:r>
      <w:r>
        <w:rPr>
          <w:rFonts w:ascii="Trebuchet MS" w:hAnsi="Trebuchet MS" w:cs="Arial"/>
          <w:b/>
          <w:bCs/>
          <w:sz w:val="24"/>
          <w:szCs w:val="24"/>
          <w:lang w:val="ro-RO"/>
        </w:rPr>
        <w:t>sursă, cu modificările și completările ulterioare</w:t>
      </w:r>
    </w:p>
    <w:p>
      <w:pPr>
        <w:pStyle w:val="22"/>
        <w:spacing w:after="0" w:line="240" w:lineRule="auto"/>
        <w:jc w:val="both"/>
        <w:rPr>
          <w:rFonts w:ascii="Trebuchet MS" w:hAnsi="Trebuchet MS" w:cs="Arial"/>
          <w:b/>
          <w:bCs/>
          <w:sz w:val="24"/>
          <w:szCs w:val="24"/>
          <w:lang w:val="pt-BR"/>
        </w:rPr>
      </w:pPr>
    </w:p>
    <w:p>
      <w:pPr>
        <w:pStyle w:val="22"/>
        <w:spacing w:after="0" w:line="240" w:lineRule="auto"/>
        <w:jc w:val="both"/>
        <w:rPr>
          <w:rFonts w:ascii="Trebuchet MS" w:hAnsi="Trebuchet MS" w:cs="Arial"/>
          <w:b/>
          <w:bCs/>
          <w:sz w:val="24"/>
          <w:szCs w:val="24"/>
          <w:lang w:val="pt-BR"/>
        </w:rPr>
      </w:pPr>
    </w:p>
    <w:p>
      <w:pPr>
        <w:pStyle w:val="22"/>
        <w:spacing w:after="0" w:line="240" w:lineRule="auto"/>
        <w:jc w:val="both"/>
        <w:rPr>
          <w:rFonts w:ascii="Trebuchet MS" w:hAnsi="Trebuchet MS" w:cs="Arial"/>
          <w:b/>
          <w:bCs/>
          <w:sz w:val="24"/>
          <w:szCs w:val="24"/>
          <w:lang w:val="pt-BR"/>
        </w:rPr>
      </w:pPr>
    </w:p>
    <w:p>
      <w:pPr>
        <w:pStyle w:val="22"/>
        <w:spacing w:after="0" w:line="240" w:lineRule="auto"/>
        <w:jc w:val="both"/>
        <w:rPr>
          <w:rFonts w:hint="default" w:ascii="Trebuchet MS" w:hAnsi="Trebuchet MS" w:cs="Trebuchet MS"/>
          <w:sz w:val="24"/>
          <w:szCs w:val="24"/>
          <w:lang w:val="ro-RO"/>
        </w:rPr>
      </w:pPr>
      <w:r>
        <w:rPr>
          <w:rFonts w:hint="default" w:ascii="Trebuchet MS" w:hAnsi="Trebuchet MS" w:cs="Arial"/>
          <w:b w:val="0"/>
          <w:bCs w:val="0"/>
          <w:sz w:val="24"/>
          <w:szCs w:val="24"/>
          <w:lang w:val="ro-RO"/>
        </w:rPr>
        <w:t xml:space="preserve">Prin </w:t>
      </w:r>
      <w:r>
        <w:rPr>
          <w:rFonts w:hint="default" w:ascii="Trebuchet MS" w:hAnsi="Trebuchet MS" w:cs="Trebuchet MS"/>
          <w:sz w:val="24"/>
          <w:szCs w:val="24"/>
          <w:lang w:val="ro-RO"/>
        </w:rPr>
        <w:t xml:space="preserve">Ordonanța de urgență a Guvernului nr.24/2026 privind reducerea temporară a nivelului accizei aplicabil motorinei şi instituirea contribuţiei de solidaritate asupra veniturilor din comercializarea ţiţeiului şi a produselor energetice obţinute din prelucrarea ţiţeiului extras de pe teritoriul României, precum şi pentru modificarea şi completarea Ordonanţei de urgenţă a Guvernului nr.19/2026 privind declararea situaţiei de criză pe piaţa ţiţeiului şi/sau a produselor petroliere, respectiv benzină şi motorină, şi pentru instituirea unor măsuri de protejare a economiei şi populaţiei pe durata situaţiei de criză, precum şi pentru modificarea Ordonanţei de urgenţă a Guvernului nr.12/2026 privind măsurile aplicabile clienţilor casnici din piaţa de gaze naturale în perioada 1 aprilie 2026 - 31 martie 2027, </w:t>
      </w:r>
      <w:r>
        <w:rPr>
          <w:rFonts w:hint="default" w:ascii="Trebuchet MS" w:hAnsi="Trebuchet MS" w:cs="Trebuchet MS"/>
          <w:sz w:val="24"/>
          <w:szCs w:val="24"/>
          <w:lang w:val="en-US"/>
        </w:rPr>
        <w:t>a fost instituit</w:t>
      </w:r>
      <w:r>
        <w:rPr>
          <w:rFonts w:hint="default" w:ascii="Trebuchet MS" w:hAnsi="Trebuchet MS" w:cs="Trebuchet MS"/>
          <w:sz w:val="24"/>
          <w:szCs w:val="24"/>
          <w:lang w:val="ro-RO"/>
        </w:rPr>
        <w:t>ă</w:t>
      </w:r>
      <w:r>
        <w:rPr>
          <w:rFonts w:hint="default" w:ascii="Trebuchet MS" w:hAnsi="Trebuchet MS" w:cs="Trebuchet MS"/>
          <w:sz w:val="24"/>
          <w:szCs w:val="24"/>
          <w:lang w:val="en-US"/>
        </w:rPr>
        <w:t xml:space="preserve"> </w:t>
      </w:r>
      <w:r>
        <w:rPr>
          <w:rFonts w:hint="default" w:ascii="Trebuchet MS" w:hAnsi="Trebuchet MS" w:cs="Trebuchet MS"/>
          <w:sz w:val="24"/>
          <w:szCs w:val="24"/>
          <w:lang w:val="ro-RO"/>
        </w:rPr>
        <w:t>contribuția de solidaritate asupra veniturilor obținute din comercializarea țițeiului extras din zăcăminte situate pe teritoriul României și asupra veniturilor obținute din comercializarea produselor energetice rezultate din extracția și prelucrarea țițeiului extras din zăcăminte situate pe teritoriul României.</w:t>
      </w:r>
    </w:p>
    <w:p>
      <w:pPr>
        <w:suppressAutoHyphens/>
        <w:spacing w:before="240" w:line="240" w:lineRule="auto"/>
        <w:jc w:val="both"/>
        <w:rPr>
          <w:rFonts w:hint="default" w:ascii="Trebuchet MS" w:hAnsi="Trebuchet MS" w:cs="Trebuchet MS"/>
          <w:sz w:val="24"/>
          <w:szCs w:val="24"/>
          <w:lang w:val="ro-RO"/>
        </w:rPr>
      </w:pPr>
      <w:r>
        <w:rPr>
          <w:rFonts w:hint="default" w:ascii="Trebuchet MS" w:hAnsi="Trebuchet MS" w:cs="Trebuchet MS"/>
          <w:sz w:val="24"/>
          <w:szCs w:val="24"/>
          <w:lang w:val="ro-RO"/>
        </w:rPr>
        <w:t>Potrivit acestei ordonanțe,</w:t>
      </w:r>
      <w:r>
        <w:rPr>
          <w:rFonts w:ascii="Trebuchet MS" w:hAnsi="Trebuchet MS" w:cs="Arial"/>
          <w:b/>
          <w:bCs/>
          <w:sz w:val="24"/>
          <w:szCs w:val="24"/>
        </w:rPr>
        <mc:AlternateContent>
          <mc:Choice Requires="wps">
            <w:drawing>
              <wp:anchor distT="0" distB="0" distL="114300" distR="114300" simplePos="0" relativeHeight="251662336" behindDoc="1" locked="0" layoutInCell="1" allowOverlap="1">
                <wp:simplePos x="0" y="0"/>
                <wp:positionH relativeFrom="column">
                  <wp:posOffset>1104900</wp:posOffset>
                </wp:positionH>
                <wp:positionV relativeFrom="paragraph">
                  <wp:posOffset>2417445</wp:posOffset>
                </wp:positionV>
                <wp:extent cx="4514850" cy="1054100"/>
                <wp:effectExtent l="0" t="0" r="0" b="0"/>
                <wp:wrapNone/>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4514850" cy="1054100"/>
                        </a:xfrm>
                        <a:prstGeom prst="rect">
                          <a:avLst/>
                        </a:prstGeom>
                        <a:noFill/>
                        <a:ln>
                          <a:noFill/>
                        </a:ln>
                        <a:effectLst/>
                      </wps:spPr>
                      <wps:txbx>
                        <w:txbxContent>
                          <w:p>
                            <w:pPr>
                              <w:rPr>
                                <w:b/>
                                <w:bCs/>
                                <w:color w:val="EEECE1"/>
                                <w:sz w:val="144"/>
                                <w:szCs w:val="144"/>
                              </w:rPr>
                            </w:pPr>
                            <w:r>
                              <w:rPr>
                                <w:b/>
                                <w:bCs/>
                                <w:color w:val="EEECE1"/>
                                <w:sz w:val="144"/>
                                <w:szCs w:val="144"/>
                              </w:rPr>
                              <w:t>PROIECT</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7pt;margin-top:190.35pt;height:83pt;width:355.5pt;z-index:-251654144;mso-width-relative:page;mso-height-relative:page;" filled="f" stroked="f" coordsize="21600,21600" o:gfxdata="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1med2AAAAAsBAAAPAAAAAAAAAAEAIAAA&#10;ACIAAABkcnMvZG93bnJldi54bWxQSwECFAAUAAAACACHTuJAtwNR4QwCAAAjBAAADgAAAAAAAAAB&#10;ACAAAAAnAQAAZHJzL2Uyb0RvYy54bWxQSwUGAAAAAAYABgBZAQAApQUAAAAA&#10;">
                <v:fill on="f" focussize="0,0"/>
                <v:stroke on="f"/>
                <v:imagedata o:title=""/>
                <o:lock v:ext="edit" aspectratio="f"/>
                <v:textbox>
                  <w:txbxContent>
                    <w:p>
                      <w:pPr>
                        <w:rPr>
                          <w:b/>
                          <w:bCs/>
                          <w:color w:val="EEECE1"/>
                          <w:sz w:val="144"/>
                          <w:szCs w:val="144"/>
                        </w:rPr>
                      </w:pPr>
                      <w:r>
                        <w:rPr>
                          <w:b/>
                          <w:bCs/>
                          <w:color w:val="EEECE1"/>
                          <w:sz w:val="144"/>
                          <w:szCs w:val="144"/>
                        </w:rPr>
                        <w:t>PROIECT</w:t>
                      </w:r>
                    </w:p>
                  </w:txbxContent>
                </v:textbox>
              </v:shape>
            </w:pict>
          </mc:Fallback>
        </mc:AlternateContent>
      </w:r>
      <w:r>
        <w:rPr>
          <w:rFonts w:hint="default" w:ascii="Trebuchet MS" w:hAnsi="Trebuchet MS" w:cs="Trebuchet MS"/>
          <w:sz w:val="24"/>
          <w:szCs w:val="24"/>
          <w:lang w:val="ro-RO"/>
        </w:rPr>
        <w:t xml:space="preserve"> </w:t>
      </w:r>
      <w:r>
        <w:rPr>
          <w:rFonts w:hint="default" w:ascii="Trebuchet MS" w:hAnsi="Trebuchet MS"/>
          <w:sz w:val="24"/>
          <w:szCs w:val="24"/>
          <w:lang w:val="ro-RO"/>
        </w:rPr>
        <w:t xml:space="preserve">operatorii economici, titulari de acorduri petroliere, care extrag țiței din zăcăminte situate pe teritoriul României și obțin venituri din comercializarea acestuia, precum și operatorii economici, titulari de acorduri petroliere, care extrag țiței din zăcăminte situate pe teritoriul României,  și care, direct sau prin persoanele afiliate, prelucrează acest țiței și obțin venituri din comercializarea produselor energetice, au obligația </w:t>
      </w:r>
      <w:r>
        <w:rPr>
          <w:rFonts w:hint="default" w:ascii="Trebuchet MS" w:hAnsi="Trebuchet MS" w:cs="Trebuchet MS"/>
          <w:sz w:val="24"/>
          <w:szCs w:val="24"/>
          <w:lang w:val="ro-RO"/>
        </w:rPr>
        <w:t xml:space="preserve">declarării acestei contribuții lunar, </w:t>
      </w:r>
      <w:r>
        <w:rPr>
          <w:rFonts w:hint="default" w:ascii="Trebuchet MS" w:hAnsi="Trebuchet MS"/>
          <w:sz w:val="24"/>
          <w:szCs w:val="24"/>
          <w:lang w:val="ro-RO"/>
        </w:rPr>
        <w:t xml:space="preserve">până la data de 25 inclusiv a lunii următoare celei pentru care se datorează. </w:t>
      </w:r>
    </w:p>
    <w:p>
      <w:pPr>
        <w:suppressAutoHyphens/>
        <w:spacing w:before="240" w:after="0" w:line="240" w:lineRule="auto"/>
        <w:jc w:val="both"/>
        <w:rPr>
          <w:rFonts w:ascii="Trebuchet MS" w:hAnsi="Trebuchet MS" w:cs="Trebuchet MS"/>
          <w:sz w:val="24"/>
          <w:szCs w:val="24"/>
          <w:lang w:val="ro-RO"/>
        </w:rPr>
      </w:pPr>
      <w:r>
        <w:rPr>
          <w:rFonts w:ascii="Trebuchet MS" w:hAnsi="Trebuchet MS" w:cs="Trebuchet MS"/>
          <w:sz w:val="24"/>
          <w:szCs w:val="24"/>
        </w:rPr>
        <w:t>Av</w:t>
      </w:r>
      <w:r>
        <w:rPr>
          <w:rFonts w:ascii="Trebuchet MS" w:hAnsi="Trebuchet MS" w:cs="Trebuchet MS"/>
          <w:sz w:val="24"/>
          <w:szCs w:val="24"/>
          <w:lang w:val="ro-RO"/>
        </w:rPr>
        <w:t xml:space="preserve">ând în vedere </w:t>
      </w:r>
      <w:r>
        <w:rPr>
          <w:rFonts w:hint="default" w:ascii="Trebuchet MS" w:hAnsi="Trebuchet MS" w:cs="Trebuchet MS"/>
          <w:sz w:val="24"/>
          <w:szCs w:val="24"/>
          <w:lang w:val="ro-RO"/>
        </w:rPr>
        <w:t xml:space="preserve">cele de </w:t>
      </w:r>
      <w:r>
        <w:rPr>
          <w:rFonts w:ascii="Trebuchet MS" w:hAnsi="Trebuchet MS" w:cs="Trebuchet MS"/>
          <w:sz w:val="24"/>
          <w:szCs w:val="24"/>
          <w:lang w:val="ro-RO"/>
        </w:rPr>
        <w:t xml:space="preserve">mai sus, </w:t>
      </w:r>
      <w:r>
        <w:rPr>
          <w:rFonts w:ascii="Trebuchet MS" w:hAnsi="Trebuchet MS" w:cs="Trebuchet MS"/>
          <w:sz w:val="24"/>
          <w:szCs w:val="24"/>
        </w:rPr>
        <w:t>prin prezentul proiect de ordin</w:t>
      </w:r>
      <w:r>
        <w:rPr>
          <w:rFonts w:hint="default" w:ascii="Trebuchet MS" w:hAnsi="Trebuchet MS" w:cs="Trebuchet MS"/>
          <w:sz w:val="24"/>
          <w:szCs w:val="24"/>
          <w:lang w:val="ro-RO"/>
        </w:rPr>
        <w:t xml:space="preserve"> </w:t>
      </w:r>
      <w:r>
        <w:rPr>
          <w:rFonts w:ascii="Trebuchet MS" w:hAnsi="Trebuchet MS" w:cs="Trebuchet MS"/>
          <w:sz w:val="24"/>
          <w:szCs w:val="24"/>
          <w:lang w:val="ro-RO"/>
        </w:rPr>
        <w:t>se</w:t>
      </w:r>
      <w:r>
        <w:rPr>
          <w:rFonts w:hint="default" w:ascii="Trebuchet MS" w:hAnsi="Trebuchet MS" w:cs="Trebuchet MS"/>
          <w:sz w:val="24"/>
          <w:szCs w:val="24"/>
          <w:lang w:val="ro-RO"/>
        </w:rPr>
        <w:t xml:space="preserve"> </w:t>
      </w:r>
      <w:r>
        <w:rPr>
          <w:rFonts w:ascii="Trebuchet MS" w:hAnsi="Trebuchet MS" w:cs="Trebuchet MS"/>
          <w:sz w:val="24"/>
          <w:szCs w:val="24"/>
          <w:lang w:val="ro-RO"/>
        </w:rPr>
        <w:t>propune modificarea și completarea Ordinul</w:t>
      </w:r>
      <w:r>
        <w:rPr>
          <w:rFonts w:ascii="Trebuchet MS" w:hAnsi="Trebuchet MS" w:cs="Trebuchet MS"/>
          <w:sz w:val="24"/>
          <w:szCs w:val="24"/>
        </w:rPr>
        <w:t>ui</w:t>
      </w:r>
      <w:r>
        <w:rPr>
          <w:rFonts w:ascii="Trebuchet MS" w:hAnsi="Trebuchet MS" w:cs="Trebuchet MS"/>
          <w:sz w:val="24"/>
          <w:szCs w:val="24"/>
          <w:lang w:val="ro-RO"/>
        </w:rPr>
        <w:t xml:space="preserve"> preşedintelui Agenţiei Naţionale de Administrare Fiscală nr.587/2016, </w:t>
      </w:r>
      <w:r>
        <w:rPr>
          <w:rFonts w:hint="default" w:ascii="Trebuchet MS" w:hAnsi="Trebuchet MS" w:cs="Trebuchet MS"/>
          <w:sz w:val="24"/>
          <w:szCs w:val="24"/>
          <w:lang w:val="ro-RO"/>
        </w:rPr>
        <w:t xml:space="preserve">cu modificările și completările ulterioare, </w:t>
      </w:r>
      <w:r>
        <w:rPr>
          <w:rFonts w:ascii="Trebuchet MS" w:hAnsi="Trebuchet MS" w:cs="Trebuchet MS"/>
          <w:sz w:val="24"/>
          <w:szCs w:val="24"/>
          <w:lang w:val="ro-RO"/>
        </w:rPr>
        <w:t>după cum urmează:</w:t>
      </w:r>
    </w:p>
    <w:p>
      <w:pPr>
        <w:numPr>
          <w:ilvl w:val="0"/>
          <w:numId w:val="1"/>
        </w:numPr>
        <w:suppressAutoHyphens/>
        <w:spacing w:before="240" w:after="0" w:line="240" w:lineRule="auto"/>
        <w:ind w:left="0" w:leftChars="0" w:firstLine="0" w:firstLineChars="0"/>
        <w:jc w:val="both"/>
        <w:rPr>
          <w:rFonts w:ascii="Trebuchet MS" w:hAnsi="Trebuchet MS" w:cs="Trebuchet MS"/>
          <w:sz w:val="24"/>
          <w:szCs w:val="24"/>
          <w:lang w:val="ro-RO"/>
        </w:rPr>
      </w:pPr>
      <w:r>
        <w:rPr>
          <w:rFonts w:hint="default" w:ascii="Trebuchet MS" w:hAnsi="Trebuchet MS" w:cs="Trebuchet MS"/>
          <w:sz w:val="24"/>
          <w:szCs w:val="24"/>
          <w:lang w:val="ro-RO"/>
        </w:rPr>
        <w:t>completarea Nomenclatorului obligaţiilor de plată la bugetul de stat, prevăzut în anexa nr.3 la ordin, prin introducerea unei noi poziții, poziția 116 „Contribuție de solidaritate”;</w:t>
      </w:r>
    </w:p>
    <w:p>
      <w:pPr>
        <w:numPr>
          <w:ilvl w:val="0"/>
          <w:numId w:val="1"/>
        </w:numPr>
        <w:suppressAutoHyphens/>
        <w:spacing w:before="240" w:after="0" w:line="240" w:lineRule="auto"/>
        <w:ind w:left="0" w:leftChars="0" w:firstLine="0" w:firstLineChars="0"/>
        <w:jc w:val="both"/>
        <w:rPr>
          <w:rFonts w:hint="default" w:ascii="Trebuchet MS" w:hAnsi="Trebuchet MS" w:cs="Trebuchet MS"/>
          <w:sz w:val="24"/>
          <w:szCs w:val="24"/>
          <w:lang w:val="ro-RO"/>
        </w:rPr>
      </w:pPr>
      <w:r>
        <w:rPr>
          <w:rFonts w:ascii="Trebuchet MS" w:hAnsi="Trebuchet MS" w:cs="Trebuchet MS"/>
          <w:sz w:val="24"/>
          <w:szCs w:val="24"/>
          <w:lang w:val="ro-RO"/>
        </w:rPr>
        <w:t>modificarea corespunzătoare a instrucțiunilor de comple</w:t>
      </w:r>
      <w:bookmarkStart w:id="0" w:name="_GoBack"/>
      <w:bookmarkEnd w:id="0"/>
      <w:r>
        <w:rPr>
          <w:rFonts w:ascii="Trebuchet MS" w:hAnsi="Trebuchet MS" w:cs="Trebuchet MS"/>
          <w:sz w:val="24"/>
          <w:szCs w:val="24"/>
          <w:lang w:val="ro-RO"/>
        </w:rPr>
        <w:t>tare a formularului 100.</w:t>
      </w:r>
    </w:p>
    <w:sectPr>
      <w:footerReference r:id="rId5" w:type="default"/>
      <w:pgSz w:w="11906" w:h="16838"/>
      <w:pgMar w:top="611" w:right="836" w:bottom="1152" w:left="1890" w:header="0" w:footer="480" w:gutter="0"/>
      <w:pgNumType w:start="1"/>
      <w:cols w:space="720"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rajan Pro">
    <w:panose1 w:val="02020502050506020301"/>
    <w:charset w:val="00"/>
    <w:family w:val="roman"/>
    <w:pitch w:val="default"/>
    <w:sig w:usb0="800000AF" w:usb1="5000204B" w:usb2="00000000" w:usb3="00000000" w:csb0="0000009B" w:csb1="00000000"/>
  </w:font>
  <w:font w:name="Trebuchet MS">
    <w:panose1 w:val="020B0603020202020204"/>
    <w:charset w:val="00"/>
    <w:family w:val="swiss"/>
    <w:pitch w:val="default"/>
    <w:sig w:usb0="00000687" w:usb1="00000000" w:usb2="00000000" w:usb3="00000000" w:csb0="2000009F" w:csb1="00000000"/>
  </w:font>
  <w:font w:name="Franklin Gothic Demi">
    <w:panose1 w:val="020B0703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0922496"/>
    </w:sdtPr>
    <w:sdtContent>
      <w:p>
        <w:pPr>
          <w:pStyle w:val="7"/>
        </w:pPr>
      </w:p>
      <w:p>
        <w:pPr>
          <w:pStyle w:val="7"/>
          <w:rPr>
            <w:rFonts w:ascii="Trebuchet MS" w:hAnsi="Trebuchet MS"/>
          </w:rPr>
        </w:pPr>
        <w:r>
          <w:rPr>
            <w:rFonts w:ascii="Trebuchet MS" w:hAnsi="Trebuchet MS" w:eastAsia="Franklin Gothic Demi" w:cs="Arial"/>
            <w:b/>
            <w:bCs/>
            <w:color w:val="000000"/>
            <w:sz w:val="18"/>
            <w:szCs w:val="18"/>
            <w:lang w:val="ro-RO"/>
          </w:rPr>
          <w:t>Document care conține date cu caracter personal protejate de prevederile Regulamentului (UE) 2016/679</w:t>
        </w:r>
      </w:p>
      <w:p>
        <w:pPr>
          <w:pStyle w:val="7"/>
          <w:jc w:val="cente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rPr>
                                  <w:rFonts w:hint="default"/>
                                  <w:lang w:val="ro-RO"/>
                                </w:rPr>
                              </w:pPr>
                              <w:r>
                                <w:t>Page</w:t>
                              </w:r>
                              <w:r>
                                <w:rPr>
                                  <w:lang w:val="ro-RO"/>
                                </w:rPr>
                                <w:t xml:space="preserv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rFonts w:hint="default"/>
                                  <w:bCs/>
                                  <w:sz w:val="24"/>
                                  <w:szCs w:val="24"/>
                                  <w:lang w:val="ro-RO"/>
                                </w:rPr>
                                <w:t>2</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IiuUhIbAgAAVAQAAA4A&#10;AAAAAAAAAQAgAAAAHwEAAGRycy9lMm9Eb2MueG1sUEsFBgAAAAAGAAYAWQEAAKwFAAAAAA==&#10;">
                  <v:fill on="f" focussize="0,0"/>
                  <v:stroke on="f" weight="0.5pt"/>
                  <v:imagedata o:title=""/>
                  <o:lock v:ext="edit" aspectratio="f"/>
                  <v:textbox inset="0mm,0mm,0mm,0mm" style="mso-fit-shape-to-text:t;">
                    <w:txbxContent>
                      <w:p>
                        <w:pPr>
                          <w:pStyle w:val="7"/>
                          <w:jc w:val="right"/>
                          <w:rPr>
                            <w:rFonts w:hint="default"/>
                            <w:lang w:val="ro-RO"/>
                          </w:rPr>
                        </w:pPr>
                        <w:r>
                          <w:t>Page</w:t>
                        </w:r>
                        <w:r>
                          <w:rPr>
                            <w:lang w:val="ro-RO"/>
                          </w:rPr>
                          <w:t xml:space="preserve"> </w:t>
                        </w:r>
                        <w:r>
                          <w:rPr>
                            <w:bCs/>
                            <w:sz w:val="24"/>
                            <w:szCs w:val="24"/>
                          </w:rPr>
                          <w:fldChar w:fldCharType="begin"/>
                        </w:r>
                        <w:r>
                          <w:rPr>
                            <w:bCs/>
                            <w:sz w:val="24"/>
                            <w:szCs w:val="24"/>
                          </w:rPr>
                          <w:instrText xml:space="preserve">PAGE</w:instrText>
                        </w:r>
                        <w:r>
                          <w:rPr>
                            <w:bCs/>
                            <w:sz w:val="24"/>
                            <w:szCs w:val="24"/>
                          </w:rPr>
                          <w:fldChar w:fldCharType="separate"/>
                        </w:r>
                        <w:r>
                          <w:rPr>
                            <w:bCs/>
                            <w:sz w:val="24"/>
                            <w:szCs w:val="24"/>
                          </w:rPr>
                          <w:t>3</w:t>
                        </w:r>
                        <w:r>
                          <w:rPr>
                            <w:bCs/>
                            <w:sz w:val="24"/>
                            <w:szCs w:val="24"/>
                          </w:rPr>
                          <w:fldChar w:fldCharType="end"/>
                        </w:r>
                        <w:r>
                          <w:rPr>
                            <w:bCs/>
                            <w:sz w:val="24"/>
                            <w:szCs w:val="24"/>
                          </w:rPr>
                          <w:t>/</w:t>
                        </w:r>
                        <w:r>
                          <w:rPr>
                            <w:rFonts w:hint="default"/>
                            <w:bCs/>
                            <w:sz w:val="24"/>
                            <w:szCs w:val="24"/>
                            <w:lang w:val="ro-RO"/>
                          </w:rPr>
                          <w:t>2</w:t>
                        </w:r>
                      </w:p>
                    </w:txbxContent>
                  </v:textbox>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27AF23"/>
    <w:multiLevelType w:val="singleLevel"/>
    <w:tmpl w:val="AB27AF23"/>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140C3"/>
    <w:rsid w:val="00172A27"/>
    <w:rsid w:val="002B1AC3"/>
    <w:rsid w:val="00651F17"/>
    <w:rsid w:val="00884FA5"/>
    <w:rsid w:val="00B256B8"/>
    <w:rsid w:val="00E823AC"/>
    <w:rsid w:val="010D689D"/>
    <w:rsid w:val="015E1929"/>
    <w:rsid w:val="01903213"/>
    <w:rsid w:val="019A4A79"/>
    <w:rsid w:val="01A71C06"/>
    <w:rsid w:val="01DF40E7"/>
    <w:rsid w:val="02A34888"/>
    <w:rsid w:val="03847740"/>
    <w:rsid w:val="03E97E9E"/>
    <w:rsid w:val="041162F4"/>
    <w:rsid w:val="04241C81"/>
    <w:rsid w:val="04245340"/>
    <w:rsid w:val="049A40A2"/>
    <w:rsid w:val="04A63606"/>
    <w:rsid w:val="04DB5CF1"/>
    <w:rsid w:val="04F91F3F"/>
    <w:rsid w:val="0619362C"/>
    <w:rsid w:val="0637747B"/>
    <w:rsid w:val="066F1682"/>
    <w:rsid w:val="06961DF8"/>
    <w:rsid w:val="06A2410D"/>
    <w:rsid w:val="06A85C60"/>
    <w:rsid w:val="07AA40B4"/>
    <w:rsid w:val="07E3589F"/>
    <w:rsid w:val="08A51A8F"/>
    <w:rsid w:val="08CA08ED"/>
    <w:rsid w:val="08D11129"/>
    <w:rsid w:val="09065C88"/>
    <w:rsid w:val="092D47B0"/>
    <w:rsid w:val="094A6A19"/>
    <w:rsid w:val="097D6DEE"/>
    <w:rsid w:val="09F32A10"/>
    <w:rsid w:val="0AE135B3"/>
    <w:rsid w:val="0BB56DA3"/>
    <w:rsid w:val="0BBB4165"/>
    <w:rsid w:val="0C5D5DF4"/>
    <w:rsid w:val="0D2A6A66"/>
    <w:rsid w:val="0D6B0662"/>
    <w:rsid w:val="0D6B69FE"/>
    <w:rsid w:val="0D80308D"/>
    <w:rsid w:val="0DA91192"/>
    <w:rsid w:val="0E0F0873"/>
    <w:rsid w:val="0E35417C"/>
    <w:rsid w:val="0E35605C"/>
    <w:rsid w:val="0E4621BF"/>
    <w:rsid w:val="0E5E783B"/>
    <w:rsid w:val="0E725DB9"/>
    <w:rsid w:val="0F147F3A"/>
    <w:rsid w:val="0F6517C5"/>
    <w:rsid w:val="0F90218A"/>
    <w:rsid w:val="100E1D4F"/>
    <w:rsid w:val="10321DEF"/>
    <w:rsid w:val="109929F4"/>
    <w:rsid w:val="11074E10"/>
    <w:rsid w:val="11BC107F"/>
    <w:rsid w:val="11ED1206"/>
    <w:rsid w:val="127706F9"/>
    <w:rsid w:val="127F3D38"/>
    <w:rsid w:val="1288248F"/>
    <w:rsid w:val="13746661"/>
    <w:rsid w:val="13CA7523"/>
    <w:rsid w:val="13D37980"/>
    <w:rsid w:val="13FE15EF"/>
    <w:rsid w:val="14082B87"/>
    <w:rsid w:val="14CF66F1"/>
    <w:rsid w:val="14F27C94"/>
    <w:rsid w:val="14F4273F"/>
    <w:rsid w:val="15B4715C"/>
    <w:rsid w:val="15FE5955"/>
    <w:rsid w:val="16065D3E"/>
    <w:rsid w:val="167032CF"/>
    <w:rsid w:val="16A57CC5"/>
    <w:rsid w:val="17261545"/>
    <w:rsid w:val="182F1DA3"/>
    <w:rsid w:val="188E4975"/>
    <w:rsid w:val="18B600EE"/>
    <w:rsid w:val="18F561A4"/>
    <w:rsid w:val="19514A57"/>
    <w:rsid w:val="19C33EFC"/>
    <w:rsid w:val="19E53D94"/>
    <w:rsid w:val="1A627B75"/>
    <w:rsid w:val="1A6C15A3"/>
    <w:rsid w:val="1A9628E6"/>
    <w:rsid w:val="1AAA6D22"/>
    <w:rsid w:val="1AC2186C"/>
    <w:rsid w:val="1B862B64"/>
    <w:rsid w:val="1C7602B9"/>
    <w:rsid w:val="1D566B09"/>
    <w:rsid w:val="1D8A5817"/>
    <w:rsid w:val="1DF25A1D"/>
    <w:rsid w:val="1DF32AE0"/>
    <w:rsid w:val="1E731CB1"/>
    <w:rsid w:val="1EB43949"/>
    <w:rsid w:val="1EE025BF"/>
    <w:rsid w:val="1F4F17B1"/>
    <w:rsid w:val="1FD42C9E"/>
    <w:rsid w:val="1FE20CAC"/>
    <w:rsid w:val="1FEF1940"/>
    <w:rsid w:val="20A6733F"/>
    <w:rsid w:val="20AE129F"/>
    <w:rsid w:val="21076A9B"/>
    <w:rsid w:val="2165588D"/>
    <w:rsid w:val="21B3303E"/>
    <w:rsid w:val="21F0506C"/>
    <w:rsid w:val="2246081C"/>
    <w:rsid w:val="22463E76"/>
    <w:rsid w:val="230F6D54"/>
    <w:rsid w:val="23161D95"/>
    <w:rsid w:val="234D1726"/>
    <w:rsid w:val="238321A6"/>
    <w:rsid w:val="238F2F00"/>
    <w:rsid w:val="23D43BB4"/>
    <w:rsid w:val="23D53F7D"/>
    <w:rsid w:val="23D91C40"/>
    <w:rsid w:val="240F7DB2"/>
    <w:rsid w:val="24B42108"/>
    <w:rsid w:val="24CD6D8A"/>
    <w:rsid w:val="2526379C"/>
    <w:rsid w:val="25511DAA"/>
    <w:rsid w:val="25570938"/>
    <w:rsid w:val="256A38E1"/>
    <w:rsid w:val="257537F8"/>
    <w:rsid w:val="25945DA4"/>
    <w:rsid w:val="25CC719C"/>
    <w:rsid w:val="25EA33DB"/>
    <w:rsid w:val="25EE4103"/>
    <w:rsid w:val="2601357F"/>
    <w:rsid w:val="26083615"/>
    <w:rsid w:val="264B706C"/>
    <w:rsid w:val="264E4147"/>
    <w:rsid w:val="26AB05CB"/>
    <w:rsid w:val="26D36419"/>
    <w:rsid w:val="271B4883"/>
    <w:rsid w:val="2721571A"/>
    <w:rsid w:val="27401740"/>
    <w:rsid w:val="275C769D"/>
    <w:rsid w:val="277724F8"/>
    <w:rsid w:val="279227E0"/>
    <w:rsid w:val="27B331B7"/>
    <w:rsid w:val="27B72239"/>
    <w:rsid w:val="27EA7FED"/>
    <w:rsid w:val="283468B0"/>
    <w:rsid w:val="28A36690"/>
    <w:rsid w:val="28A37DD7"/>
    <w:rsid w:val="28AB3081"/>
    <w:rsid w:val="28C8250F"/>
    <w:rsid w:val="28E30A91"/>
    <w:rsid w:val="2A43397A"/>
    <w:rsid w:val="2A9C30DA"/>
    <w:rsid w:val="2AA40674"/>
    <w:rsid w:val="2AC6509D"/>
    <w:rsid w:val="2B156E10"/>
    <w:rsid w:val="2B6375F0"/>
    <w:rsid w:val="2B8D7B0C"/>
    <w:rsid w:val="2C372166"/>
    <w:rsid w:val="2C6B6E84"/>
    <w:rsid w:val="2C725643"/>
    <w:rsid w:val="2CBF3661"/>
    <w:rsid w:val="2D0E2642"/>
    <w:rsid w:val="2D5C1328"/>
    <w:rsid w:val="2D9E5898"/>
    <w:rsid w:val="2DD942D8"/>
    <w:rsid w:val="2DDA56D7"/>
    <w:rsid w:val="2DDC0F11"/>
    <w:rsid w:val="2E0C3A16"/>
    <w:rsid w:val="2E3F4230"/>
    <w:rsid w:val="2ED04F66"/>
    <w:rsid w:val="2F1271DD"/>
    <w:rsid w:val="2F207C1B"/>
    <w:rsid w:val="2FA772B8"/>
    <w:rsid w:val="2FAD2427"/>
    <w:rsid w:val="2FB63537"/>
    <w:rsid w:val="2FC260DA"/>
    <w:rsid w:val="2FC725D3"/>
    <w:rsid w:val="2FCC4ED1"/>
    <w:rsid w:val="30052281"/>
    <w:rsid w:val="301A3290"/>
    <w:rsid w:val="3061271D"/>
    <w:rsid w:val="309C64D5"/>
    <w:rsid w:val="30AF201B"/>
    <w:rsid w:val="310C7F1D"/>
    <w:rsid w:val="31214F11"/>
    <w:rsid w:val="314B1AED"/>
    <w:rsid w:val="32355210"/>
    <w:rsid w:val="32562C36"/>
    <w:rsid w:val="32810F93"/>
    <w:rsid w:val="329D53F6"/>
    <w:rsid w:val="32AE70BE"/>
    <w:rsid w:val="3352313B"/>
    <w:rsid w:val="33D80771"/>
    <w:rsid w:val="340D063A"/>
    <w:rsid w:val="3487542A"/>
    <w:rsid w:val="349F1C25"/>
    <w:rsid w:val="34D92DC4"/>
    <w:rsid w:val="352E4932"/>
    <w:rsid w:val="35840774"/>
    <w:rsid w:val="359411A1"/>
    <w:rsid w:val="35B848DE"/>
    <w:rsid w:val="35BF0C09"/>
    <w:rsid w:val="35F849C4"/>
    <w:rsid w:val="36217F8F"/>
    <w:rsid w:val="368318F0"/>
    <w:rsid w:val="383B2EF1"/>
    <w:rsid w:val="388E3564"/>
    <w:rsid w:val="38D9077C"/>
    <w:rsid w:val="39576CC5"/>
    <w:rsid w:val="398003E9"/>
    <w:rsid w:val="39880C7D"/>
    <w:rsid w:val="3A527327"/>
    <w:rsid w:val="3A962C91"/>
    <w:rsid w:val="3AAC37B2"/>
    <w:rsid w:val="3AC3111A"/>
    <w:rsid w:val="3BF57816"/>
    <w:rsid w:val="3C3A54B5"/>
    <w:rsid w:val="3D1C5965"/>
    <w:rsid w:val="3D441948"/>
    <w:rsid w:val="3D4C5F94"/>
    <w:rsid w:val="3D8C4AAC"/>
    <w:rsid w:val="3E1B43B6"/>
    <w:rsid w:val="3ED91810"/>
    <w:rsid w:val="3EEF54C7"/>
    <w:rsid w:val="3F512C43"/>
    <w:rsid w:val="3FCF6241"/>
    <w:rsid w:val="3FE522A3"/>
    <w:rsid w:val="400C0D2C"/>
    <w:rsid w:val="40505D61"/>
    <w:rsid w:val="406801AF"/>
    <w:rsid w:val="40720927"/>
    <w:rsid w:val="40854722"/>
    <w:rsid w:val="40EF7456"/>
    <w:rsid w:val="41473C19"/>
    <w:rsid w:val="41CB7ECC"/>
    <w:rsid w:val="41F11862"/>
    <w:rsid w:val="420A48D4"/>
    <w:rsid w:val="424B5FEB"/>
    <w:rsid w:val="42612018"/>
    <w:rsid w:val="43367E1F"/>
    <w:rsid w:val="4357717C"/>
    <w:rsid w:val="43BE6DFB"/>
    <w:rsid w:val="44943B95"/>
    <w:rsid w:val="44985BC6"/>
    <w:rsid w:val="458421BF"/>
    <w:rsid w:val="45B130A9"/>
    <w:rsid w:val="46843F95"/>
    <w:rsid w:val="46D26D0D"/>
    <w:rsid w:val="46D87E78"/>
    <w:rsid w:val="470831F3"/>
    <w:rsid w:val="47521D22"/>
    <w:rsid w:val="477521A4"/>
    <w:rsid w:val="47A42FD5"/>
    <w:rsid w:val="47A83E32"/>
    <w:rsid w:val="47B40AF4"/>
    <w:rsid w:val="48CD3843"/>
    <w:rsid w:val="48F117F7"/>
    <w:rsid w:val="492E619F"/>
    <w:rsid w:val="49C063B1"/>
    <w:rsid w:val="4A217098"/>
    <w:rsid w:val="4A8063A5"/>
    <w:rsid w:val="4AA42767"/>
    <w:rsid w:val="4AF02F3B"/>
    <w:rsid w:val="4B6C7AEC"/>
    <w:rsid w:val="4B7F2BB7"/>
    <w:rsid w:val="4B8611F2"/>
    <w:rsid w:val="4B8A1CFA"/>
    <w:rsid w:val="4B9A4D59"/>
    <w:rsid w:val="4C2B07B0"/>
    <w:rsid w:val="4C682C1F"/>
    <w:rsid w:val="4D090EF8"/>
    <w:rsid w:val="4D951D26"/>
    <w:rsid w:val="4E101F7B"/>
    <w:rsid w:val="4F0A3E14"/>
    <w:rsid w:val="4F2D3015"/>
    <w:rsid w:val="4F44363C"/>
    <w:rsid w:val="4F515CAC"/>
    <w:rsid w:val="5044617C"/>
    <w:rsid w:val="507D0823"/>
    <w:rsid w:val="50DA4426"/>
    <w:rsid w:val="52030EA6"/>
    <w:rsid w:val="523B4546"/>
    <w:rsid w:val="52AB44F8"/>
    <w:rsid w:val="5447048D"/>
    <w:rsid w:val="548C45D3"/>
    <w:rsid w:val="54F860E9"/>
    <w:rsid w:val="55442FCB"/>
    <w:rsid w:val="554B007E"/>
    <w:rsid w:val="55B73944"/>
    <w:rsid w:val="55E36DDD"/>
    <w:rsid w:val="56167910"/>
    <w:rsid w:val="5638749D"/>
    <w:rsid w:val="56602487"/>
    <w:rsid w:val="566576FF"/>
    <w:rsid w:val="56D8017D"/>
    <w:rsid w:val="572977FE"/>
    <w:rsid w:val="57966413"/>
    <w:rsid w:val="583C5F5D"/>
    <w:rsid w:val="585E3942"/>
    <w:rsid w:val="58620170"/>
    <w:rsid w:val="590D4433"/>
    <w:rsid w:val="592F1EDD"/>
    <w:rsid w:val="593A5AB0"/>
    <w:rsid w:val="596F5803"/>
    <w:rsid w:val="597B5319"/>
    <w:rsid w:val="59D033B8"/>
    <w:rsid w:val="59DB3ADF"/>
    <w:rsid w:val="59FF38E1"/>
    <w:rsid w:val="5A0065A6"/>
    <w:rsid w:val="5A86381C"/>
    <w:rsid w:val="5AEB7EBF"/>
    <w:rsid w:val="5B6656CF"/>
    <w:rsid w:val="5C3A6F70"/>
    <w:rsid w:val="5CCE3197"/>
    <w:rsid w:val="5CED1AE3"/>
    <w:rsid w:val="5D2D2508"/>
    <w:rsid w:val="5D3A2FAF"/>
    <w:rsid w:val="5DAD134F"/>
    <w:rsid w:val="5DE07592"/>
    <w:rsid w:val="5E186200"/>
    <w:rsid w:val="5E265155"/>
    <w:rsid w:val="5E3B4BF6"/>
    <w:rsid w:val="5EE024C3"/>
    <w:rsid w:val="5F4B02A7"/>
    <w:rsid w:val="5F5D6775"/>
    <w:rsid w:val="5F6A13C1"/>
    <w:rsid w:val="5FE4608A"/>
    <w:rsid w:val="604227C3"/>
    <w:rsid w:val="60722B1C"/>
    <w:rsid w:val="609D0C81"/>
    <w:rsid w:val="60DE4C9F"/>
    <w:rsid w:val="61825AB5"/>
    <w:rsid w:val="619407AB"/>
    <w:rsid w:val="61AB0576"/>
    <w:rsid w:val="625817B7"/>
    <w:rsid w:val="62693F6B"/>
    <w:rsid w:val="62700D45"/>
    <w:rsid w:val="62916B8D"/>
    <w:rsid w:val="634E2533"/>
    <w:rsid w:val="638D7383"/>
    <w:rsid w:val="63AF2E65"/>
    <w:rsid w:val="63EB54CA"/>
    <w:rsid w:val="64053EC6"/>
    <w:rsid w:val="6416550D"/>
    <w:rsid w:val="656E3FD5"/>
    <w:rsid w:val="65A1489C"/>
    <w:rsid w:val="66A772B7"/>
    <w:rsid w:val="673D46AD"/>
    <w:rsid w:val="67571051"/>
    <w:rsid w:val="681D6B19"/>
    <w:rsid w:val="692A0601"/>
    <w:rsid w:val="693C10FC"/>
    <w:rsid w:val="69524B00"/>
    <w:rsid w:val="69757766"/>
    <w:rsid w:val="697C35AD"/>
    <w:rsid w:val="699278A6"/>
    <w:rsid w:val="69B533A3"/>
    <w:rsid w:val="69F33129"/>
    <w:rsid w:val="6A5429F3"/>
    <w:rsid w:val="6A5F0A39"/>
    <w:rsid w:val="6AD0429B"/>
    <w:rsid w:val="6AEB15E8"/>
    <w:rsid w:val="6B220BAD"/>
    <w:rsid w:val="6B3174FC"/>
    <w:rsid w:val="6B4068C6"/>
    <w:rsid w:val="6B904035"/>
    <w:rsid w:val="6BC53131"/>
    <w:rsid w:val="6BCF63E8"/>
    <w:rsid w:val="6C1163B3"/>
    <w:rsid w:val="6CEB0359"/>
    <w:rsid w:val="6D4525B4"/>
    <w:rsid w:val="6D4C7896"/>
    <w:rsid w:val="6D52286E"/>
    <w:rsid w:val="6D7069B2"/>
    <w:rsid w:val="6E0154E6"/>
    <w:rsid w:val="6E873DAF"/>
    <w:rsid w:val="6ECF2631"/>
    <w:rsid w:val="6EE02460"/>
    <w:rsid w:val="6F671721"/>
    <w:rsid w:val="6FFC6AEF"/>
    <w:rsid w:val="70725DD6"/>
    <w:rsid w:val="707B70D2"/>
    <w:rsid w:val="70DB36AD"/>
    <w:rsid w:val="70F43070"/>
    <w:rsid w:val="7111646C"/>
    <w:rsid w:val="71207954"/>
    <w:rsid w:val="71217A08"/>
    <w:rsid w:val="71231F88"/>
    <w:rsid w:val="71C51C09"/>
    <w:rsid w:val="71C73228"/>
    <w:rsid w:val="7240115C"/>
    <w:rsid w:val="72AC372A"/>
    <w:rsid w:val="72BE15EB"/>
    <w:rsid w:val="72D955E1"/>
    <w:rsid w:val="72DB36FD"/>
    <w:rsid w:val="73AD7D52"/>
    <w:rsid w:val="73BD62B1"/>
    <w:rsid w:val="73E770EB"/>
    <w:rsid w:val="74136E9C"/>
    <w:rsid w:val="74FE7628"/>
    <w:rsid w:val="751245D1"/>
    <w:rsid w:val="75751BB4"/>
    <w:rsid w:val="761E5F53"/>
    <w:rsid w:val="764C225F"/>
    <w:rsid w:val="768F2505"/>
    <w:rsid w:val="76B74344"/>
    <w:rsid w:val="76F20BD7"/>
    <w:rsid w:val="77160DC2"/>
    <w:rsid w:val="775641DE"/>
    <w:rsid w:val="77A729B4"/>
    <w:rsid w:val="77ED47CF"/>
    <w:rsid w:val="77F659A7"/>
    <w:rsid w:val="78203FB3"/>
    <w:rsid w:val="78470C59"/>
    <w:rsid w:val="78D418FA"/>
    <w:rsid w:val="78E46319"/>
    <w:rsid w:val="78F44AE4"/>
    <w:rsid w:val="79D40A69"/>
    <w:rsid w:val="79E65E3D"/>
    <w:rsid w:val="7A1B038B"/>
    <w:rsid w:val="7B3534CF"/>
    <w:rsid w:val="7B406F9F"/>
    <w:rsid w:val="7BCB6779"/>
    <w:rsid w:val="7BCC1673"/>
    <w:rsid w:val="7C377A20"/>
    <w:rsid w:val="7C6D3710"/>
    <w:rsid w:val="7CA91AEC"/>
    <w:rsid w:val="7CC23F5E"/>
    <w:rsid w:val="7CC774F6"/>
    <w:rsid w:val="7CE17E41"/>
    <w:rsid w:val="7D5C6BC0"/>
    <w:rsid w:val="7DD44E5B"/>
    <w:rsid w:val="7DDA720E"/>
    <w:rsid w:val="7DE95993"/>
    <w:rsid w:val="7E6336A2"/>
    <w:rsid w:val="7E8D44C9"/>
    <w:rsid w:val="7E943CA8"/>
    <w:rsid w:val="7EF956D8"/>
    <w:rsid w:val="7F072D3B"/>
    <w:rsid w:val="7F360AB9"/>
    <w:rsid w:val="7F877725"/>
    <w:rsid w:val="7FC8448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40" w:line="276" w:lineRule="auto"/>
    </w:pPr>
  </w:style>
  <w:style w:type="paragraph" w:styleId="5">
    <w:name w:val="caption"/>
    <w:basedOn w:val="1"/>
    <w:next w:val="1"/>
    <w:qFormat/>
    <w:uiPriority w:val="0"/>
    <w:pPr>
      <w:suppressLineNumbers/>
      <w:spacing w:before="120" w:after="120"/>
    </w:pPr>
    <w:rPr>
      <w:rFonts w:cs="Arial"/>
      <w:i/>
      <w:iCs/>
      <w:sz w:val="24"/>
      <w:szCs w:val="24"/>
    </w:rPr>
  </w:style>
  <w:style w:type="paragraph" w:styleId="6">
    <w:name w:val="annotation text"/>
    <w:basedOn w:val="1"/>
    <w:semiHidden/>
    <w:unhideWhenUsed/>
    <w:qFormat/>
    <w:uiPriority w:val="99"/>
  </w:style>
  <w:style w:type="paragraph" w:styleId="7">
    <w:name w:val="footer"/>
    <w:basedOn w:val="1"/>
    <w:link w:val="14"/>
    <w:unhideWhenUsed/>
    <w:qFormat/>
    <w:uiPriority w:val="99"/>
    <w:pPr>
      <w:tabs>
        <w:tab w:val="center" w:pos="4680"/>
        <w:tab w:val="right" w:pos="9360"/>
      </w:tabs>
      <w:spacing w:after="0" w:line="240" w:lineRule="auto"/>
    </w:pPr>
  </w:style>
  <w:style w:type="paragraph" w:styleId="8">
    <w:name w:val="header"/>
    <w:basedOn w:val="1"/>
    <w:link w:val="13"/>
    <w:unhideWhenUsed/>
    <w:qFormat/>
    <w:uiPriority w:val="99"/>
    <w:pPr>
      <w:tabs>
        <w:tab w:val="center" w:pos="4680"/>
        <w:tab w:val="right" w:pos="9360"/>
      </w:tabs>
      <w:spacing w:after="0" w:line="240" w:lineRule="auto"/>
    </w:pPr>
  </w:style>
  <w:style w:type="character" w:styleId="9">
    <w:name w:val="Hyperlink"/>
    <w:basedOn w:val="2"/>
    <w:semiHidden/>
    <w:unhideWhenUsed/>
    <w:qFormat/>
    <w:uiPriority w:val="99"/>
    <w:rPr>
      <w:color w:val="0000FF"/>
      <w:u w:val="single"/>
    </w:rPr>
  </w:style>
  <w:style w:type="paragraph" w:styleId="10">
    <w:name w:val="List"/>
    <w:basedOn w:val="4"/>
    <w:qFormat/>
    <w:uiPriority w:val="0"/>
    <w:rPr>
      <w:rFonts w:cs="Arial"/>
    </w:rPr>
  </w:style>
  <w:style w:type="paragraph" w:styleId="11">
    <w:name w:val="Normal (Web)"/>
    <w:basedOn w:val="1"/>
    <w:qFormat/>
    <w:uiPriority w:val="0"/>
    <w:pPr>
      <w:spacing w:before="280" w:after="280"/>
    </w:pPr>
    <w:rPr>
      <w:color w:val="000000"/>
    </w:rPr>
  </w:style>
  <w:style w:type="table" w:styleId="12">
    <w:name w:val="Table Grid"/>
    <w:basedOn w:val="3"/>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Header Char"/>
    <w:basedOn w:val="2"/>
    <w:link w:val="8"/>
    <w:qFormat/>
    <w:uiPriority w:val="99"/>
  </w:style>
  <w:style w:type="character" w:customStyle="1" w:styleId="14">
    <w:name w:val="Footer Char"/>
    <w:basedOn w:val="2"/>
    <w:link w:val="7"/>
    <w:qFormat/>
    <w:uiPriority w:val="99"/>
  </w:style>
  <w:style w:type="character" w:customStyle="1" w:styleId="15">
    <w:name w:val="Internet Link"/>
    <w:basedOn w:val="2"/>
    <w:unhideWhenUsed/>
    <w:qFormat/>
    <w:uiPriority w:val="99"/>
    <w:rPr>
      <w:color w:val="0563C1" w:themeColor="hyperlink"/>
      <w:u w:val="single"/>
      <w14:textFill>
        <w14:solidFill>
          <w14:schemeClr w14:val="hlink"/>
        </w14:solidFill>
      </w14:textFill>
    </w:rPr>
  </w:style>
  <w:style w:type="paragraph" w:customStyle="1" w:styleId="16">
    <w:name w:val="Heading"/>
    <w:basedOn w:val="1"/>
    <w:next w:val="4"/>
    <w:qFormat/>
    <w:uiPriority w:val="0"/>
    <w:pPr>
      <w:keepNext/>
      <w:spacing w:before="240" w:after="120"/>
    </w:pPr>
    <w:rPr>
      <w:rFonts w:ascii="Liberation Sans" w:hAnsi="Liberation Sans" w:eastAsia="Microsoft YaHei" w:cs="Arial"/>
      <w:sz w:val="28"/>
      <w:szCs w:val="28"/>
    </w:rPr>
  </w:style>
  <w:style w:type="paragraph" w:customStyle="1" w:styleId="17">
    <w:name w:val="Index"/>
    <w:basedOn w:val="1"/>
    <w:qFormat/>
    <w:uiPriority w:val="0"/>
    <w:pPr>
      <w:suppressLineNumbers/>
    </w:pPr>
    <w:rPr>
      <w:rFonts w:cs="Arial"/>
    </w:rPr>
  </w:style>
  <w:style w:type="paragraph" w:customStyle="1" w:styleId="18">
    <w:name w:val="Caracter Caracter"/>
    <w:basedOn w:val="1"/>
    <w:qFormat/>
    <w:uiPriority w:val="0"/>
    <w:pPr>
      <w:spacing w:after="0" w:line="240" w:lineRule="auto"/>
    </w:pPr>
    <w:rPr>
      <w:rFonts w:ascii="Times New Roman" w:hAnsi="Times New Roman" w:eastAsia="Times New Roman" w:cs="Times New Roman"/>
      <w:sz w:val="24"/>
      <w:szCs w:val="24"/>
      <w:lang w:val="pl-PL" w:eastAsia="pl-PL"/>
    </w:rPr>
  </w:style>
  <w:style w:type="paragraph" w:customStyle="1" w:styleId="19">
    <w:name w:val="Frame Contents"/>
    <w:basedOn w:val="1"/>
    <w:qFormat/>
    <w:uiPriority w:val="0"/>
  </w:style>
  <w:style w:type="paragraph" w:customStyle="1" w:styleId="20">
    <w:name w:val="Default Text:1"/>
    <w:basedOn w:val="1"/>
    <w:qFormat/>
    <w:uiPriority w:val="0"/>
    <w:rPr>
      <w:szCs w:val="20"/>
      <w:lang w:eastAsia="ar-SA"/>
    </w:rPr>
  </w:style>
  <w:style w:type="paragraph" w:customStyle="1" w:styleId="21">
    <w:name w:val="Default Text:2"/>
    <w:basedOn w:val="1"/>
    <w:qFormat/>
    <w:uiPriority w:val="0"/>
    <w:pPr>
      <w:overflowPunct w:val="0"/>
      <w:autoSpaceDE w:val="0"/>
    </w:pPr>
    <w:rPr>
      <w:kern w:val="2"/>
      <w:szCs w:val="20"/>
    </w:rPr>
  </w:style>
  <w:style w:type="paragraph" w:customStyle="1" w:styleId="22">
    <w:name w:val="Default Text"/>
    <w:basedOn w:val="1"/>
    <w:qFormat/>
    <w:uiPriority w:val="0"/>
    <w:pPr>
      <w:autoSpaceDE w:val="0"/>
    </w:pPr>
  </w:style>
  <w:style w:type="paragraph" w:customStyle="1" w:styleId="23">
    <w:name w:val="Caracter Caracter1"/>
    <w:basedOn w:val="1"/>
    <w:qFormat/>
    <w:uiPriority w:val="0"/>
    <w:rPr>
      <w:szCs w:val="24"/>
      <w:lang w:val="pl-P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Ministerul Finantelor Publice</Company>
  <Pages>3</Pages>
  <Words>1012</Words>
  <Characters>5773</Characters>
  <Lines>48</Lines>
  <Paragraphs>13</Paragraphs>
  <TotalTime>1</TotalTime>
  <ScaleCrop>false</ScaleCrop>
  <LinksUpToDate>false</LinksUpToDate>
  <CharactersWithSpaces>6772</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2021-06-24T07:29:00Z</dcterms:created>
  <dc:creator>CRISTIAN-NICOLAE MARIN</dc:creator>
  <cp:lastModifiedBy>49073745</cp:lastModifiedBy>
  <cp:lastPrinted>2026-04-06T06:46:00Z</cp:lastPrinted>
  <dcterms:modified xsi:type="dcterms:W3CDTF">2026-04-14T11:57:34Z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1033-11.2.0.10351</vt:lpwstr>
  </property>
  <property fmtid="{D5CDD505-2E9C-101B-9397-08002B2CF9AE}" pid="10" name="ICV">
    <vt:lpwstr>9775F04AE4644D92AA5D86C93F770067</vt:lpwstr>
  </property>
</Properties>
</file>