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212" w:rsidRDefault="00323340">
      <w:pPr>
        <w:rPr>
          <w:rFonts w:ascii="Trebuchet MS" w:hAnsi="Trebuchet MS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3980815</wp:posOffset>
            </wp:positionH>
            <wp:positionV relativeFrom="paragraph">
              <wp:posOffset>250825</wp:posOffset>
            </wp:positionV>
            <wp:extent cx="2159000" cy="687705"/>
            <wp:effectExtent l="0" t="0" r="0" b="0"/>
            <wp:wrapSquare wrapText="bothSides"/>
            <wp:docPr id="4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94" t="37459" r="12560" b="375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-996950</wp:posOffset>
            </wp:positionH>
            <wp:positionV relativeFrom="margin">
              <wp:posOffset>171450</wp:posOffset>
            </wp:positionV>
            <wp:extent cx="913765" cy="901065"/>
            <wp:effectExtent l="0" t="0" r="635" b="0"/>
            <wp:wrapSquare wrapText="bothSides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F85">
        <w:rPr>
          <w:rFonts w:ascii="Trebuchet MS" w:hAnsi="Trebuchet MS"/>
        </w:rPr>
        <w:t xml:space="preserve">  </w:t>
      </w:r>
    </w:p>
    <w:p w:rsidR="00010212" w:rsidRDefault="00EF1F85">
      <w:pPr>
        <w:ind w:leftChars="-109" w:left="-240" w:firstLineChars="85" w:firstLine="239"/>
        <w:rPr>
          <w:rFonts w:ascii="Trajan Pro" w:hAnsi="Trajan Pro"/>
          <w:b/>
          <w:sz w:val="28"/>
          <w:szCs w:val="28"/>
        </w:rPr>
      </w:pPr>
      <w:r>
        <w:rPr>
          <w:rFonts w:ascii="Trajan Pro" w:hAnsi="Trajan Pro"/>
          <w:b/>
          <w:sz w:val="28"/>
          <w:szCs w:val="28"/>
        </w:rPr>
        <w:t xml:space="preserve">MINISTERUL FINANȚELOR       </w:t>
      </w:r>
    </w:p>
    <w:p w:rsidR="00010212" w:rsidRDefault="00EF1F85">
      <w:pPr>
        <w:spacing w:after="46"/>
      </w:pPr>
      <w:r>
        <w:rPr>
          <w:rFonts w:ascii="Trebuchet MS" w:hAnsi="Trebuchet MS"/>
          <w:b/>
          <w:sz w:val="24"/>
          <w:szCs w:val="24"/>
        </w:rPr>
        <w:t>Agenția Națională de Administrare Fiscală</w:t>
      </w:r>
    </w:p>
    <w:p w:rsidR="00323340" w:rsidRDefault="00323340">
      <w:pPr>
        <w:pStyle w:val="DefaultText"/>
        <w:spacing w:after="46" w:line="240" w:lineRule="auto"/>
        <w:jc w:val="both"/>
        <w:rPr>
          <w:rFonts w:ascii="Trebuchet MS" w:hAnsi="Trebuchet MS" w:cs="Trebuchet MS"/>
          <w:color w:val="000000"/>
          <w:sz w:val="24"/>
        </w:rPr>
      </w:pPr>
    </w:p>
    <w:p w:rsidR="00323340" w:rsidRDefault="00EF1F85" w:rsidP="00323340">
      <w:pPr>
        <w:pStyle w:val="DefaultText"/>
        <w:spacing w:after="46" w:line="240" w:lineRule="auto"/>
        <w:jc w:val="center"/>
        <w:rPr>
          <w:rFonts w:ascii="Trebuchet MS" w:hAnsi="Trebuchet MS" w:cs="Trebuchet MS"/>
          <w:color w:val="000000"/>
          <w:sz w:val="24"/>
        </w:rPr>
      </w:pPr>
      <w:r>
        <w:rPr>
          <w:rFonts w:ascii="Trebuchet MS" w:hAnsi="Trebuchet MS" w:cs="Trebuchet MS"/>
          <w:color w:val="000000"/>
          <w:sz w:val="24"/>
        </w:rPr>
        <w:t>Referat de aprobare</w:t>
      </w:r>
    </w:p>
    <w:p w:rsidR="00010212" w:rsidRDefault="00EF1F85" w:rsidP="00323340">
      <w:pPr>
        <w:pStyle w:val="DefaultText"/>
        <w:spacing w:after="46" w:line="240" w:lineRule="auto"/>
        <w:jc w:val="center"/>
        <w:rPr>
          <w:rFonts w:ascii="Trebuchet MS" w:hAnsi="Trebuchet MS" w:cs="Trebuchet MS"/>
          <w:color w:val="000000"/>
          <w:sz w:val="24"/>
        </w:rPr>
      </w:pPr>
      <w:r>
        <w:rPr>
          <w:rFonts w:ascii="Trebuchet MS" w:hAnsi="Trebuchet MS" w:cs="Trebuchet MS"/>
          <w:color w:val="000000"/>
          <w:sz w:val="24"/>
        </w:rPr>
        <w:t>a proiectului de ordin al președintelui</w:t>
      </w:r>
      <w:r w:rsidR="00323340">
        <w:rPr>
          <w:rFonts w:ascii="Trebuchet MS" w:hAnsi="Trebuchet MS" w:cs="Trebuchet MS"/>
          <w:color w:val="000000"/>
          <w:sz w:val="24"/>
        </w:rPr>
        <w:t xml:space="preserve">  </w:t>
      </w:r>
      <w:r>
        <w:rPr>
          <w:rFonts w:ascii="Trebuchet MS" w:hAnsi="Trebuchet MS" w:cs="Trebuchet MS"/>
          <w:color w:val="000000"/>
          <w:sz w:val="24"/>
        </w:rPr>
        <w:t xml:space="preserve">Agenției Naționale de Administrare Fiscală pentru aprobarea Procedurii </w:t>
      </w:r>
      <w:r>
        <w:rPr>
          <w:rFonts w:ascii="Trebuchet MS" w:hAnsi="Trebuchet MS" w:cs="Trebuchet MS"/>
          <w:color w:val="000000"/>
          <w:sz w:val="24"/>
        </w:rPr>
        <w:t>de restituire a sumelor reprezentând contribuția la Fondul de Tranziție</w:t>
      </w:r>
      <w:r w:rsidR="00323340">
        <w:rPr>
          <w:rFonts w:ascii="Trebuchet MS" w:hAnsi="Trebuchet MS" w:cs="Trebuchet MS"/>
          <w:color w:val="000000"/>
          <w:sz w:val="24"/>
        </w:rPr>
        <w:t xml:space="preserve"> </w:t>
      </w:r>
      <w:r>
        <w:rPr>
          <w:rFonts w:ascii="Trebuchet MS" w:hAnsi="Trebuchet MS" w:cs="Trebuchet MS"/>
          <w:color w:val="000000"/>
          <w:sz w:val="24"/>
        </w:rPr>
        <w:t>Energetică</w:t>
      </w:r>
    </w:p>
    <w:p w:rsidR="00323340" w:rsidRDefault="00323340" w:rsidP="00323340">
      <w:pPr>
        <w:spacing w:line="240" w:lineRule="auto"/>
        <w:jc w:val="both"/>
        <w:rPr>
          <w:rFonts w:ascii="Trebuchet MS" w:hAnsi="Trebuchet MS" w:cs="Trebuchet MS"/>
          <w:color w:val="000000"/>
          <w:sz w:val="24"/>
          <w:szCs w:val="24"/>
        </w:rPr>
      </w:pPr>
      <w:bookmarkStart w:id="0" w:name="_GoBack"/>
      <w:bookmarkEnd w:id="0"/>
    </w:p>
    <w:p w:rsidR="00010212" w:rsidRDefault="00EF1F85" w:rsidP="00323340">
      <w:pPr>
        <w:spacing w:line="240" w:lineRule="auto"/>
        <w:jc w:val="both"/>
        <w:rPr>
          <w:rFonts w:ascii="Trebuchet MS" w:hAnsi="Trebuchet MS" w:cs="Trebuchet MS"/>
          <w:color w:val="000000"/>
          <w:sz w:val="24"/>
        </w:rPr>
      </w:pPr>
      <w:r>
        <w:rPr>
          <w:rFonts w:ascii="Trebuchet MS" w:hAnsi="Trebuchet MS" w:cs="Trebuchet MS"/>
          <w:color w:val="000000"/>
          <w:sz w:val="24"/>
        </w:rPr>
        <w:t xml:space="preserve">Potrivit prevederilor  art. 15 din Ordonanța de urgență a Guvernului nr. 27/2022 privind </w:t>
      </w:r>
      <w:r>
        <w:rPr>
          <w:rFonts w:ascii="Trebuchet MS" w:hAnsi="Trebuchet MS" w:cs="Trebuchet MS"/>
          <w:color w:val="000000"/>
          <w:sz w:val="24"/>
        </w:rPr>
        <w:t>măsurile aplicabile clienţilor finali din piaţa de energie electrică şi gaze naturale în perioada 1 aprilie 2022 - 31 martie 2023, precum şi pentru modificarea şi completarea unor acte normative din domeniul energiei, cu modificările și completările ulteri</w:t>
      </w:r>
      <w:r>
        <w:rPr>
          <w:rFonts w:ascii="Trebuchet MS" w:hAnsi="Trebuchet MS" w:cs="Trebuchet MS"/>
          <w:color w:val="000000"/>
          <w:sz w:val="24"/>
        </w:rPr>
        <w:t>oare, sumele reprezentând contravaloarea contribuţiei la Fondul de Tranziţie Energetică se plătesc într-un cont distinct de disponibil 55.08 ”Sume reprezentând contribuția la Fondul de Tranziție Energetică” deschis la unităţile Trezoreriei Statului din cad</w:t>
      </w:r>
      <w:r>
        <w:rPr>
          <w:rFonts w:ascii="Trebuchet MS" w:hAnsi="Trebuchet MS" w:cs="Trebuchet MS"/>
          <w:color w:val="000000"/>
          <w:sz w:val="24"/>
        </w:rPr>
        <w:t>rul organelor fiscale centrale competente, codificat cu codul de identificare fiscală al plătitorului.</w:t>
      </w:r>
    </w:p>
    <w:p w:rsidR="00010212" w:rsidRDefault="00EF1F85" w:rsidP="00323340">
      <w:pPr>
        <w:tabs>
          <w:tab w:val="left" w:pos="1122"/>
          <w:tab w:val="left" w:pos="9498"/>
        </w:tabs>
        <w:spacing w:line="240" w:lineRule="auto"/>
        <w:ind w:right="54"/>
        <w:jc w:val="both"/>
        <w:rPr>
          <w:rFonts w:ascii="Trebuchet MS" w:hAnsi="Trebuchet MS" w:cs="Trebuchet MS"/>
          <w:color w:val="000000"/>
          <w:sz w:val="24"/>
        </w:rPr>
      </w:pPr>
      <w:r>
        <w:rPr>
          <w:rFonts w:ascii="Trebuchet MS" w:hAnsi="Trebuchet MS" w:cs="Trebuchet MS"/>
          <w:color w:val="000000"/>
          <w:sz w:val="24"/>
        </w:rPr>
        <w:t>Prin Decizia nr. 640 din 7 noiembrie 2024, publicată în Monitorul Oficial României</w:t>
      </w:r>
      <w:r>
        <w:rPr>
          <w:rFonts w:ascii="Trebuchet MS" w:hAnsi="Trebuchet MS" w:cs="Trebuchet MS"/>
          <w:color w:val="000000"/>
          <w:sz w:val="24"/>
        </w:rPr>
        <w:t>, Partea I,</w:t>
      </w:r>
      <w:r>
        <w:rPr>
          <w:rFonts w:ascii="Trebuchet MS" w:hAnsi="Trebuchet MS" w:cs="Trebuchet MS"/>
          <w:color w:val="000000"/>
          <w:sz w:val="24"/>
        </w:rPr>
        <w:t xml:space="preserve"> nr. 515 din 3 iunie 2025, Curtea Constituţională a României</w:t>
      </w:r>
      <w:r>
        <w:rPr>
          <w:rFonts w:ascii="Trebuchet MS" w:hAnsi="Trebuchet MS" w:cs="Trebuchet MS"/>
          <w:color w:val="000000"/>
          <w:sz w:val="24"/>
        </w:rPr>
        <w:t xml:space="preserve"> a constatat că dispoziţiile art. 15 din Ordonanţa de urgenţă a Guvernului nr. 27/2022, cu modificările și completările ulterioare sunt neconstituţionale.</w:t>
      </w:r>
    </w:p>
    <w:p w:rsidR="00010212" w:rsidRDefault="00EF1F85" w:rsidP="00323340">
      <w:pPr>
        <w:tabs>
          <w:tab w:val="left" w:pos="1122"/>
          <w:tab w:val="left" w:pos="9498"/>
        </w:tabs>
        <w:spacing w:line="240" w:lineRule="auto"/>
        <w:ind w:right="54"/>
        <w:jc w:val="both"/>
        <w:rPr>
          <w:rFonts w:ascii="Trebuchet MS" w:hAnsi="Trebuchet MS" w:cs="Trebuchet MS"/>
          <w:color w:val="000000"/>
          <w:sz w:val="24"/>
        </w:rPr>
      </w:pPr>
      <w:r>
        <w:rPr>
          <w:rFonts w:ascii="Trebuchet MS" w:hAnsi="Trebuchet MS" w:cs="Trebuchet MS"/>
          <w:color w:val="000000"/>
          <w:sz w:val="24"/>
        </w:rPr>
        <w:t>Totodată</w:t>
      </w:r>
      <w:r>
        <w:rPr>
          <w:rFonts w:ascii="Trebuchet MS" w:hAnsi="Trebuchet MS" w:cs="Trebuchet MS"/>
          <w:color w:val="000000"/>
          <w:sz w:val="24"/>
        </w:rPr>
        <w:t xml:space="preserve">, a fost publicată </w:t>
      </w:r>
      <w:r>
        <w:rPr>
          <w:rFonts w:ascii="Trebuchet MS" w:hAnsi="Trebuchet MS" w:cs="Trebuchet MS"/>
          <w:i/>
          <w:iCs/>
          <w:color w:val="000000"/>
          <w:sz w:val="24"/>
        </w:rPr>
        <w:t>Ordonanța de urgență a Guvernului nr. 33/2025 privind privind aprobarea re</w:t>
      </w:r>
      <w:r>
        <w:rPr>
          <w:rFonts w:ascii="Trebuchet MS" w:hAnsi="Trebuchet MS" w:cs="Trebuchet MS"/>
          <w:i/>
          <w:iCs/>
          <w:color w:val="000000"/>
          <w:sz w:val="24"/>
        </w:rPr>
        <w:t xml:space="preserve">stituirii unor sume plătite la Fondul de Tranziţie Energetică, </w:t>
      </w:r>
      <w:r>
        <w:rPr>
          <w:rFonts w:ascii="Trebuchet MS" w:hAnsi="Trebuchet MS" w:cs="Trebuchet MS"/>
          <w:color w:val="000000"/>
          <w:sz w:val="24"/>
        </w:rPr>
        <w:t>care urmărește punerea de acord a cadrului normativ incident cu Decizia Curții Constituționale nr. 640/2024, astfel:</w:t>
      </w:r>
    </w:p>
    <w:p w:rsidR="00010212" w:rsidRDefault="00EF1F85" w:rsidP="00323340">
      <w:pPr>
        <w:tabs>
          <w:tab w:val="left" w:pos="1122"/>
          <w:tab w:val="left" w:pos="9498"/>
        </w:tabs>
        <w:spacing w:line="240" w:lineRule="auto"/>
        <w:ind w:right="54"/>
        <w:jc w:val="both"/>
        <w:rPr>
          <w:rFonts w:ascii="Trebuchet MS" w:hAnsi="Trebuchet MS" w:cs="Trebuchet MS"/>
          <w:color w:val="000000"/>
          <w:sz w:val="24"/>
        </w:rPr>
      </w:pPr>
      <w:r>
        <w:rPr>
          <w:rFonts w:ascii="Trebuchet MS" w:hAnsi="Trebuchet MS" w:cs="Trebuchet MS"/>
          <w:color w:val="000000"/>
          <w:sz w:val="24"/>
        </w:rPr>
        <w:t>- contribuția datorată pe perioada cuprinsă între 1.09.2022 - 31.03.2025 est</w:t>
      </w:r>
      <w:r>
        <w:rPr>
          <w:rFonts w:ascii="Trebuchet MS" w:hAnsi="Trebuchet MS" w:cs="Trebuchet MS"/>
          <w:color w:val="000000"/>
          <w:sz w:val="24"/>
        </w:rPr>
        <w:t>e de 80 % din suma datorată conform prevederilor legale în vigoare în această perioadă;</w:t>
      </w:r>
    </w:p>
    <w:p w:rsidR="00010212" w:rsidRDefault="00EF1F85" w:rsidP="00323340">
      <w:pPr>
        <w:tabs>
          <w:tab w:val="left" w:pos="1122"/>
          <w:tab w:val="left" w:pos="9498"/>
        </w:tabs>
        <w:spacing w:line="240" w:lineRule="auto"/>
        <w:ind w:right="54"/>
        <w:jc w:val="both"/>
        <w:rPr>
          <w:rFonts w:ascii="Trebuchet MS" w:hAnsi="Trebuchet MS" w:cs="Trebuchet MS"/>
          <w:color w:val="000000"/>
          <w:sz w:val="24"/>
        </w:rPr>
      </w:pPr>
      <w:r>
        <w:rPr>
          <w:rFonts w:ascii="Trebuchet MS" w:hAnsi="Trebuchet MS" w:cs="Trebuchet MS"/>
          <w:color w:val="000000"/>
          <w:sz w:val="24"/>
        </w:rPr>
        <w:t>- procedura de restituire se aplică doar contribuabililor, care au invocat excepția de neconstituționalitate care fac obiectul Deciziei nr. 640/2024 și au cauze pe rolu</w:t>
      </w:r>
      <w:r>
        <w:rPr>
          <w:rFonts w:ascii="Trebuchet MS" w:hAnsi="Trebuchet MS" w:cs="Trebuchet MS"/>
          <w:color w:val="000000"/>
          <w:sz w:val="24"/>
        </w:rPr>
        <w:t>l instanțelor judecătorești având ca obiect restituirea sumelor de bani aferente contribuției plătite până la data publicării deciziei, precum și celor care au stabilit restituirea sumelor prin hotarari judecătorești definitive;</w:t>
      </w:r>
    </w:p>
    <w:p w:rsidR="00010212" w:rsidRDefault="00EF1F85" w:rsidP="00323340">
      <w:pPr>
        <w:tabs>
          <w:tab w:val="left" w:pos="1122"/>
          <w:tab w:val="left" w:pos="9498"/>
        </w:tabs>
        <w:spacing w:line="240" w:lineRule="auto"/>
        <w:ind w:right="54"/>
        <w:jc w:val="both"/>
        <w:rPr>
          <w:rFonts w:ascii="Trebuchet MS" w:hAnsi="Trebuchet MS" w:cs="Trebuchet MS"/>
          <w:color w:val="000000"/>
          <w:sz w:val="24"/>
        </w:rPr>
      </w:pPr>
      <w:r>
        <w:rPr>
          <w:rFonts w:ascii="Trebuchet MS" w:hAnsi="Trebuchet MS" w:cs="Trebuchet MS"/>
          <w:color w:val="000000"/>
          <w:sz w:val="24"/>
        </w:rPr>
        <w:t xml:space="preserve">- pentru sumele restituite </w:t>
      </w:r>
      <w:r>
        <w:rPr>
          <w:rFonts w:ascii="Trebuchet MS" w:hAnsi="Trebuchet MS" w:cs="Trebuchet MS"/>
          <w:color w:val="000000"/>
          <w:sz w:val="24"/>
        </w:rPr>
        <w:t>se calculează dobândă conform Legii  nr. 207/2015</w:t>
      </w:r>
      <w:r>
        <w:rPr>
          <w:rFonts w:ascii="Trebuchet MS" w:hAnsi="Trebuchet MS" w:cs="Trebuchet MS"/>
          <w:color w:val="000000"/>
          <w:sz w:val="24"/>
        </w:rPr>
        <w:t xml:space="preserve"> privind Codul de procedură fiscală, cu modificările și completările ulterioare</w:t>
      </w:r>
      <w:r>
        <w:rPr>
          <w:rFonts w:ascii="Trebuchet MS" w:hAnsi="Trebuchet MS" w:cs="Trebuchet MS"/>
          <w:color w:val="000000"/>
          <w:sz w:val="24"/>
        </w:rPr>
        <w:t>, de la data plății de către contribuabil și până la data restituirii sau conform celor dispuse prin hotăr</w:t>
      </w:r>
      <w:r>
        <w:rPr>
          <w:rFonts w:ascii="Trebuchet MS" w:hAnsi="Trebuchet MS" w:cs="Trebuchet MS"/>
          <w:color w:val="000000"/>
          <w:sz w:val="24"/>
        </w:rPr>
        <w:t>â</w:t>
      </w:r>
      <w:r>
        <w:rPr>
          <w:rFonts w:ascii="Trebuchet MS" w:hAnsi="Trebuchet MS" w:cs="Trebuchet MS"/>
          <w:color w:val="000000"/>
          <w:sz w:val="24"/>
        </w:rPr>
        <w:t>rile judecătoreș</w:t>
      </w:r>
      <w:r>
        <w:rPr>
          <w:rFonts w:ascii="Trebuchet MS" w:hAnsi="Trebuchet MS" w:cs="Trebuchet MS"/>
          <w:color w:val="000000"/>
          <w:sz w:val="24"/>
        </w:rPr>
        <w:t>t</w:t>
      </w:r>
      <w:r>
        <w:rPr>
          <w:rFonts w:ascii="Trebuchet MS" w:hAnsi="Trebuchet MS" w:cs="Trebuchet MS"/>
          <w:color w:val="000000"/>
          <w:sz w:val="24"/>
        </w:rPr>
        <w:t>i de</w:t>
      </w:r>
      <w:r>
        <w:rPr>
          <w:rFonts w:ascii="Trebuchet MS" w:hAnsi="Trebuchet MS" w:cs="Trebuchet MS"/>
          <w:color w:val="000000"/>
          <w:sz w:val="24"/>
        </w:rPr>
        <w:t>finitive, după caz.</w:t>
      </w:r>
    </w:p>
    <w:p w:rsidR="00010212" w:rsidRDefault="00EF1F85" w:rsidP="00323340">
      <w:pPr>
        <w:tabs>
          <w:tab w:val="left" w:pos="1122"/>
          <w:tab w:val="left" w:pos="9498"/>
        </w:tabs>
        <w:spacing w:line="240" w:lineRule="auto"/>
        <w:ind w:right="54"/>
        <w:jc w:val="both"/>
        <w:rPr>
          <w:rFonts w:ascii="Trebuchet MS" w:hAnsi="Trebuchet MS" w:cs="Trebuchet MS"/>
          <w:color w:val="000000"/>
          <w:sz w:val="24"/>
        </w:rPr>
      </w:pPr>
      <w:r>
        <w:rPr>
          <w:rFonts w:ascii="Trebuchet MS" w:hAnsi="Trebuchet MS" w:cs="Trebuchet MS"/>
          <w:color w:val="000000"/>
          <w:sz w:val="24"/>
        </w:rPr>
        <w:t xml:space="preserve">Având în vedere </w:t>
      </w:r>
      <w:r>
        <w:rPr>
          <w:rFonts w:ascii="Trebuchet MS" w:hAnsi="Trebuchet MS" w:cs="Trebuchet MS"/>
          <w:color w:val="000000"/>
          <w:sz w:val="24"/>
        </w:rPr>
        <w:t>prevederile legale mai sus menționate</w:t>
      </w:r>
      <w:r>
        <w:rPr>
          <w:rFonts w:ascii="Trebuchet MS" w:hAnsi="Trebuchet MS" w:cs="Trebuchet MS"/>
          <w:color w:val="000000"/>
          <w:sz w:val="24"/>
        </w:rPr>
        <w:t>,</w:t>
      </w:r>
      <w:r>
        <w:rPr>
          <w:rFonts w:ascii="Trebuchet MS" w:hAnsi="Trebuchet MS" w:cs="Trebuchet MS"/>
          <w:color w:val="000000"/>
          <w:sz w:val="24"/>
        </w:rPr>
        <w:t xml:space="preserve"> prin prezentul proiect de ordin se propun următoarele:</w:t>
      </w:r>
    </w:p>
    <w:p w:rsidR="00010212" w:rsidRDefault="00EF1F85" w:rsidP="00323340">
      <w:pPr>
        <w:tabs>
          <w:tab w:val="left" w:pos="1122"/>
          <w:tab w:val="left" w:pos="9498"/>
        </w:tabs>
        <w:spacing w:line="240" w:lineRule="auto"/>
        <w:ind w:right="54"/>
        <w:jc w:val="both"/>
        <w:rPr>
          <w:rFonts w:ascii="Trebuchet MS" w:hAnsi="Trebuchet MS" w:cs="Trebuchet MS"/>
          <w:color w:val="000000"/>
          <w:sz w:val="24"/>
        </w:rPr>
      </w:pPr>
      <w:r>
        <w:rPr>
          <w:rFonts w:ascii="Trebuchet MS" w:hAnsi="Trebuchet MS" w:cs="Trebuchet MS"/>
          <w:color w:val="000000"/>
          <w:sz w:val="24"/>
        </w:rPr>
        <w:t xml:space="preserve">- aprobarea Procedurii </w:t>
      </w:r>
      <w:r>
        <w:rPr>
          <w:rFonts w:ascii="Trebuchet MS" w:hAnsi="Trebuchet MS" w:cs="Trebuchet MS"/>
          <w:color w:val="000000"/>
          <w:sz w:val="24"/>
        </w:rPr>
        <w:t>de restituire a sumelor reprezentând contribuția la Fondul de Tranziție Energetică</w:t>
      </w:r>
      <w:r>
        <w:rPr>
          <w:rFonts w:ascii="Trebuchet MS" w:hAnsi="Trebuchet MS" w:cs="Trebuchet MS"/>
          <w:color w:val="000000"/>
          <w:sz w:val="24"/>
        </w:rPr>
        <w:t xml:space="preserve"> ;</w:t>
      </w:r>
    </w:p>
    <w:p w:rsidR="00010212" w:rsidRDefault="00EF1F85" w:rsidP="00323340">
      <w:pPr>
        <w:tabs>
          <w:tab w:val="left" w:pos="1122"/>
          <w:tab w:val="left" w:pos="9498"/>
        </w:tabs>
        <w:spacing w:line="240" w:lineRule="auto"/>
        <w:ind w:right="54"/>
        <w:jc w:val="both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color w:val="000000"/>
          <w:sz w:val="24"/>
        </w:rPr>
        <w:t>- aprobarea modelu</w:t>
      </w:r>
      <w:r>
        <w:rPr>
          <w:rFonts w:ascii="Trebuchet MS" w:hAnsi="Trebuchet MS" w:cs="Trebuchet MS"/>
          <w:color w:val="000000"/>
          <w:sz w:val="24"/>
        </w:rPr>
        <w:t xml:space="preserve">lui și conținutului </w:t>
      </w:r>
      <w:r>
        <w:rPr>
          <w:rFonts w:ascii="Trebuchet MS" w:hAnsi="Trebuchet MS" w:cs="Trebuchet MS"/>
          <w:color w:val="000000"/>
          <w:sz w:val="24"/>
        </w:rPr>
        <w:t>formularului 176 ”</w:t>
      </w:r>
      <w:r>
        <w:rPr>
          <w:rFonts w:ascii="Trebuchet MS" w:hAnsi="Trebuchet MS" w:cs="Trebuchet MS"/>
          <w:sz w:val="24"/>
          <w:szCs w:val="24"/>
        </w:rPr>
        <w:t>Declarație - inventar privind sumele de restituit reprezentând contribuție la Fondul de Tranziție Energetică”</w:t>
      </w:r>
      <w:r>
        <w:rPr>
          <w:rFonts w:ascii="Trebuchet MS" w:hAnsi="Trebuchet MS" w:cs="Trebuchet MS"/>
          <w:sz w:val="24"/>
          <w:szCs w:val="24"/>
        </w:rPr>
        <w:t>, instrucțiunile de completare, precum și caracteristicile de editare, modul de difuzare, de utilizare și păs</w:t>
      </w:r>
      <w:r>
        <w:rPr>
          <w:rFonts w:ascii="Trebuchet MS" w:hAnsi="Trebuchet MS" w:cs="Trebuchet MS"/>
          <w:sz w:val="24"/>
          <w:szCs w:val="24"/>
        </w:rPr>
        <w:t>trare ale acestuia;</w:t>
      </w:r>
    </w:p>
    <w:p w:rsidR="00010212" w:rsidRDefault="00EF1F85" w:rsidP="00323340">
      <w:pPr>
        <w:tabs>
          <w:tab w:val="left" w:pos="1122"/>
          <w:tab w:val="left" w:pos="9498"/>
        </w:tabs>
        <w:spacing w:line="240" w:lineRule="auto"/>
        <w:ind w:right="54"/>
        <w:jc w:val="both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sz w:val="24"/>
          <w:szCs w:val="24"/>
        </w:rPr>
        <w:lastRenderedPageBreak/>
        <w:t>-aprobarea modelului și conținutului formularului ”</w:t>
      </w:r>
      <w:r>
        <w:rPr>
          <w:rFonts w:ascii="Trebuchet MS" w:hAnsi="Trebuchet MS" w:cs="Trebuchet MS"/>
          <w:sz w:val="24"/>
          <w:szCs w:val="24"/>
        </w:rPr>
        <w:t>Proces-verbal de punere de acord”</w:t>
      </w:r>
      <w:r>
        <w:rPr>
          <w:rFonts w:ascii="Trebuchet MS" w:hAnsi="Trebuchet MS" w:cs="Trebuchet MS"/>
          <w:sz w:val="24"/>
          <w:szCs w:val="24"/>
        </w:rPr>
        <w:t>.</w:t>
      </w:r>
    </w:p>
    <w:p w:rsidR="00010212" w:rsidRDefault="00EF1F85" w:rsidP="00323340">
      <w:pPr>
        <w:tabs>
          <w:tab w:val="left" w:pos="1122"/>
          <w:tab w:val="left" w:pos="9498"/>
        </w:tabs>
        <w:spacing w:line="240" w:lineRule="auto"/>
        <w:ind w:right="54"/>
        <w:rPr>
          <w:rFonts w:ascii="Trebuchet MS" w:hAnsi="Trebuchet MS" w:cs="Trebuchet MS"/>
          <w:color w:val="000000"/>
          <w:sz w:val="24"/>
        </w:rPr>
      </w:pPr>
      <w:r>
        <w:rPr>
          <w:rFonts w:ascii="Trebuchet MS" w:hAnsi="Trebuchet MS" w:cs="Trebuchet MS"/>
          <w:sz w:val="24"/>
          <w:szCs w:val="24"/>
        </w:rPr>
        <w:t>Faţă de cele de mai sus, s-a întocmit proiect</w:t>
      </w:r>
      <w:r>
        <w:rPr>
          <w:rFonts w:ascii="Trebuchet MS" w:hAnsi="Trebuchet MS" w:cs="Trebuchet MS"/>
          <w:sz w:val="24"/>
          <w:szCs w:val="24"/>
        </w:rPr>
        <w:t>ul de o</w:t>
      </w:r>
      <w:r>
        <w:rPr>
          <w:rFonts w:ascii="Trebuchet MS" w:hAnsi="Trebuchet MS" w:cs="Trebuchet MS"/>
          <w:sz w:val="24"/>
          <w:szCs w:val="24"/>
        </w:rPr>
        <w:t>rdin pentru aprobarea Procedurii de restituire a sumelor reprezentând contribuția la Fondul de Tra</w:t>
      </w:r>
      <w:r>
        <w:rPr>
          <w:rFonts w:ascii="Trebuchet MS" w:hAnsi="Trebuchet MS" w:cs="Trebuchet MS"/>
          <w:sz w:val="24"/>
          <w:szCs w:val="24"/>
        </w:rPr>
        <w:t>nziție Energetică</w:t>
      </w:r>
      <w:r w:rsidR="00323340">
        <w:rPr>
          <w:rFonts w:ascii="Trebuchet MS" w:hAnsi="Trebuchet MS" w:cs="Trebuchet MS"/>
          <w:sz w:val="24"/>
          <w:szCs w:val="24"/>
        </w:rPr>
        <w:t>.</w:t>
      </w:r>
    </w:p>
    <w:p w:rsidR="00010212" w:rsidRDefault="00EF1F85" w:rsidP="00323340">
      <w:pPr>
        <w:tabs>
          <w:tab w:val="left" w:pos="9498"/>
        </w:tabs>
        <w:ind w:right="54"/>
      </w:pPr>
      <w:r>
        <w:rPr>
          <w:rFonts w:ascii="Trebuchet MS" w:eastAsia="Arial" w:hAnsi="Trebuchet MS" w:cs="Arial"/>
          <w:bCs/>
          <w:color w:val="000000"/>
          <w:sz w:val="24"/>
          <w:szCs w:val="24"/>
        </w:rPr>
        <w:t xml:space="preserve"> </w:t>
      </w:r>
      <w:r>
        <w:rPr>
          <w:rFonts w:ascii="Trebuchet MS" w:eastAsia="Arial" w:hAnsi="Trebuchet MS" w:cs="Arial"/>
          <w:bCs/>
          <w:color w:val="000000"/>
          <w:sz w:val="24"/>
          <w:szCs w:val="24"/>
        </w:rPr>
        <w:t xml:space="preserve">          </w:t>
      </w:r>
    </w:p>
    <w:p w:rsidR="00010212" w:rsidRDefault="00010212" w:rsidP="00323340">
      <w:pPr>
        <w:tabs>
          <w:tab w:val="left" w:pos="9498"/>
        </w:tabs>
        <w:ind w:right="54"/>
        <w:rPr>
          <w:rFonts w:ascii="Trebuchet MS" w:eastAsia="Arial" w:hAnsi="Trebuchet MS" w:cs="Arial"/>
          <w:bCs/>
          <w:color w:val="000000"/>
          <w:sz w:val="24"/>
          <w:szCs w:val="24"/>
        </w:rPr>
      </w:pPr>
    </w:p>
    <w:p w:rsidR="00010212" w:rsidRDefault="00010212" w:rsidP="00323340">
      <w:pPr>
        <w:tabs>
          <w:tab w:val="left" w:pos="2100"/>
          <w:tab w:val="left" w:pos="9498"/>
        </w:tabs>
        <w:ind w:right="54"/>
      </w:pPr>
    </w:p>
    <w:sectPr w:rsidR="00010212" w:rsidSect="00323340">
      <w:headerReference w:type="default" r:id="rId10"/>
      <w:footerReference w:type="default" r:id="rId11"/>
      <w:pgSz w:w="11906" w:h="16838"/>
      <w:pgMar w:top="49" w:right="707" w:bottom="1669" w:left="1788" w:header="0" w:footer="48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F85" w:rsidRDefault="00EF1F85">
      <w:pPr>
        <w:spacing w:after="0" w:line="240" w:lineRule="auto"/>
      </w:pPr>
      <w:r>
        <w:separator/>
      </w:r>
    </w:p>
  </w:endnote>
  <w:endnote w:type="continuationSeparator" w:id="0">
    <w:p w:rsidR="00EF1F85" w:rsidRDefault="00EF1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ajan Pro">
    <w:panose1 w:val="02020502050506020301"/>
    <w:charset w:val="00"/>
    <w:family w:val="roman"/>
    <w:pitch w:val="variable"/>
    <w:sig w:usb0="800000AF" w:usb1="5000204B" w:usb2="00000000" w:usb3="00000000" w:csb0="0000009B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212" w:rsidRDefault="00EF1F85">
    <w:pPr>
      <w:pStyle w:val="Footer1"/>
    </w:pPr>
    <w:r>
      <w:rPr>
        <w:rFonts w:ascii="Trebuchet MS" w:eastAsia="Franklin Gothic Demi" w:hAnsi="Trebuchet MS" w:cs="Arial"/>
        <w:b/>
        <w:bCs/>
        <w:color w:val="000000"/>
        <w:sz w:val="18"/>
        <w:szCs w:val="18"/>
      </w:rPr>
      <w:t xml:space="preserve">Document care conține date cu caracter personal </w:t>
    </w:r>
    <w:r>
      <w:rPr>
        <w:rFonts w:ascii="Trebuchet MS" w:eastAsia="Franklin Gothic Demi" w:hAnsi="Trebuchet MS" w:cs="Arial"/>
        <w:b/>
        <w:bCs/>
        <w:color w:val="000000"/>
        <w:sz w:val="18"/>
        <w:szCs w:val="18"/>
      </w:rPr>
      <w:t>protejate de prevederile Regulamentului (UE) 2016/679</w:t>
    </w:r>
    <w:r>
      <w:t xml:space="preserve">Page </w:t>
    </w:r>
    <w:r>
      <w:rPr>
        <w:bCs/>
        <w:sz w:val="24"/>
        <w:szCs w:val="24"/>
      </w:rPr>
      <w:fldChar w:fldCharType="begin"/>
    </w:r>
    <w:r>
      <w:rPr>
        <w:bCs/>
        <w:sz w:val="24"/>
        <w:szCs w:val="24"/>
      </w:rPr>
      <w:instrText xml:space="preserve"> PAGE </w:instrText>
    </w:r>
    <w:r>
      <w:rPr>
        <w:bCs/>
        <w:sz w:val="24"/>
        <w:szCs w:val="24"/>
      </w:rPr>
      <w:fldChar w:fldCharType="separate"/>
    </w:r>
    <w:r w:rsidR="00323340">
      <w:rPr>
        <w:bCs/>
        <w:noProof/>
        <w:sz w:val="24"/>
        <w:szCs w:val="24"/>
      </w:rPr>
      <w:t>2</w:t>
    </w:r>
    <w:r>
      <w:rPr>
        <w:bCs/>
        <w:sz w:val="24"/>
        <w:szCs w:val="24"/>
      </w:rPr>
      <w:fldChar w:fldCharType="end"/>
    </w:r>
    <w:r>
      <w:rPr>
        <w:bCs/>
        <w:sz w:val="24"/>
        <w:szCs w:val="24"/>
      </w:rPr>
      <w:t>/</w:t>
    </w:r>
    <w:r>
      <w:rPr>
        <w:bCs/>
        <w:sz w:val="24"/>
        <w:szCs w:val="24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F85" w:rsidRDefault="00EF1F85">
      <w:pPr>
        <w:spacing w:after="0" w:line="240" w:lineRule="auto"/>
      </w:pPr>
      <w:r>
        <w:separator/>
      </w:r>
    </w:p>
  </w:footnote>
  <w:footnote w:type="continuationSeparator" w:id="0">
    <w:p w:rsidR="00EF1F85" w:rsidRDefault="00EF1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212" w:rsidRDefault="00EF1F85"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693" o:spid="_x0000_s2049" type="#_x0000_t136" style="position:absolute;margin-left:0;margin-top:0;width:478.2pt;height:183.55pt;rotation:315;z-index:-251658752;mso-position-horizontal:center;mso-position-horizontal-relative:margin;mso-position-vertical:center;mso-position-vertical-relative:margin" o:preferrelative="t" fillcolor="silver" stroked="f">
          <v:fill opacity=".5"/>
          <v:textpath style="font-family:&quot;MS Shell Dlg 2&quot;" trim="t" fitpath="t" string="proiect"/>
          <o:lock v:ext="edit" aspectratio="t" text="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lvl w:ilvl="0" w:tentative="1">
      <w:start w:val="1"/>
      <w:numFmt w:val="none"/>
      <w:pStyle w:val="Heading1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 w:tentative="1">
      <w:start w:val="1"/>
      <w:numFmt w:val="none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entative="1">
      <w:start w:val="1"/>
      <w:numFmt w:val="none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entative="1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entative="1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 w:tentative="1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 w:tentative="1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 w:tentative="1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 w:tentative="1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0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212"/>
    <w:rsid w:val="00010212"/>
    <w:rsid w:val="00323340"/>
    <w:rsid w:val="00EF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  <w15:docId w15:val="{E59850CF-7CDA-40D1-8C2D-4021A03E8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sz w:val="22"/>
      <w:szCs w:val="22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numPr>
        <w:numId w:val="1"/>
      </w:numPr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140" w:line="276" w:lineRule="auto"/>
    </w:pPr>
  </w:style>
  <w:style w:type="paragraph" w:styleId="Footer">
    <w:name w:val="footer"/>
    <w:basedOn w:val="Normal"/>
    <w:semiHidden/>
    <w:unhideWhenUsed/>
  </w:style>
  <w:style w:type="paragraph" w:styleId="Header">
    <w:name w:val="header"/>
    <w:basedOn w:val="Normal"/>
    <w:semiHidden/>
    <w:unhideWhenUsed/>
    <w:pPr>
      <w:suppressLineNumbers/>
      <w:tabs>
        <w:tab w:val="center" w:pos="4452"/>
        <w:tab w:val="right" w:pos="8905"/>
      </w:tabs>
    </w:pPr>
  </w:style>
  <w:style w:type="paragraph" w:styleId="List">
    <w:name w:val="List"/>
    <w:basedOn w:val="BodyText"/>
    <w:rPr>
      <w:rFonts w:cs="Arial"/>
    </w:rPr>
  </w:style>
  <w:style w:type="paragraph" w:styleId="NormalWeb">
    <w:name w:val="Normal (Web)"/>
    <w:basedOn w:val="Normal"/>
    <w:qFormat/>
    <w:pPr>
      <w:spacing w:before="280" w:after="280"/>
    </w:pPr>
    <w:rPr>
      <w:color w:val="000000"/>
    </w:rPr>
  </w:style>
  <w:style w:type="character" w:styleId="PageNumber">
    <w:name w:val="page number"/>
    <w:basedOn w:val="DefaultParagraphFont1"/>
    <w:semiHidden/>
    <w:unhideWhenUsed/>
  </w:style>
  <w:style w:type="character" w:customStyle="1" w:styleId="DefaultParagraphFont1">
    <w:name w:val="Default Paragraph Font1"/>
    <w:uiPriority w:val="6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aption12">
    <w:name w:val="Caption12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Caption1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Header1">
    <w:name w:val="Header1"/>
    <w:basedOn w:val="Normal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Footer1">
    <w:name w:val="Footer1"/>
    <w:basedOn w:val="Normal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CaracterCaracter">
    <w:name w:val="Caracter Caracter"/>
    <w:basedOn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ameContents">
    <w:name w:val="Frame Contents"/>
    <w:basedOn w:val="Normal"/>
    <w:qFormat/>
  </w:style>
  <w:style w:type="paragraph" w:customStyle="1" w:styleId="DefaultText2">
    <w:name w:val="Default Text:2"/>
    <w:basedOn w:val="Normal"/>
    <w:qFormat/>
    <w:pPr>
      <w:textAlignment w:val="baseline"/>
    </w:pPr>
    <w:rPr>
      <w:kern w:val="2"/>
      <w:szCs w:val="20"/>
    </w:rPr>
  </w:style>
  <w:style w:type="paragraph" w:customStyle="1" w:styleId="DefaultText">
    <w:name w:val="Default Text"/>
    <w:basedOn w:val="Normal"/>
    <w:qFormat/>
  </w:style>
  <w:style w:type="paragraph" w:customStyle="1" w:styleId="western">
    <w:name w:val="western"/>
    <w:qFormat/>
    <w:rPr>
      <w:rFonts w:eastAsia="Calibri"/>
      <w:sz w:val="24"/>
      <w:szCs w:val="24"/>
    </w:rPr>
  </w:style>
  <w:style w:type="paragraph" w:customStyle="1" w:styleId="Footer2">
    <w:name w:val="Footer2"/>
    <w:basedOn w:val="Normal"/>
    <w:qFormat/>
  </w:style>
  <w:style w:type="paragraph" w:customStyle="1" w:styleId="Footer3">
    <w:name w:val="Footer3"/>
    <w:basedOn w:val="Normal"/>
  </w:style>
  <w:style w:type="paragraph" w:customStyle="1" w:styleId="NormalWeb1">
    <w:name w:val="Normal (Web)1"/>
    <w:basedOn w:val="Normal"/>
    <w:uiPriority w:val="7"/>
    <w:pPr>
      <w:spacing w:before="280" w:after="280"/>
    </w:pPr>
    <w:rPr>
      <w:color w:val="000000"/>
    </w:rPr>
  </w:style>
  <w:style w:type="character" w:customStyle="1" w:styleId="HeaderChar">
    <w:name w:val="Header Char"/>
    <w:basedOn w:val="DefaultParagraphFont"/>
    <w:uiPriority w:val="99"/>
    <w:qFormat/>
  </w:style>
  <w:style w:type="character" w:customStyle="1" w:styleId="FooterChar">
    <w:name w:val="Footer Char"/>
    <w:basedOn w:val="DefaultParagraphFont"/>
    <w:uiPriority w:val="99"/>
    <w:qFormat/>
  </w:style>
  <w:style w:type="character" w:customStyle="1" w:styleId="InternetLink">
    <w:name w:val="Internet Link"/>
    <w:uiPriority w:val="99"/>
    <w:unhideWhenUsed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Ministerul Finantelor Publice</Company>
  <LinksUpToDate>false</LinksUpToDate>
  <CharactersWithSpaces>3225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CRISTIAN-NICOLAE MARIN</dc:creator>
  <cp:lastModifiedBy>IONELA GHENCEA</cp:lastModifiedBy>
  <cp:revision>2</cp:revision>
  <cp:lastPrinted>2025-08-18T06:44:00Z</cp:lastPrinted>
  <dcterms:created xsi:type="dcterms:W3CDTF">2025-08-21T07:13:00Z</dcterms:created>
  <dcterms:modified xsi:type="dcterms:W3CDTF">2025-08-21T07:13:00Z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Ministerul Finantelor Publice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KSOProductBuildVer">
    <vt:lpwstr>1033-9.1.0.4674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