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F02" w:rsidRDefault="00775666">
      <w:pPr>
        <w:shd w:val="clear" w:color="auto" w:fill="FFFFFF" w:themeFill="background1"/>
        <w:rPr>
          <w:rFonts w:ascii="Trebuchet MS" w:hAnsi="Trebuchet MS" w:cs="Trebuchet MS"/>
          <w:b/>
          <w:sz w:val="24"/>
          <w:szCs w:val="24"/>
        </w:rPr>
      </w:pPr>
      <w:r>
        <w:rPr>
          <w:noProof/>
        </w:rPr>
        <w:drawing>
          <wp:anchor distT="0" distB="0" distL="0" distR="0" simplePos="0" relativeHeight="251658240" behindDoc="0" locked="0" layoutInCell="0" allowOverlap="1" wp14:anchorId="2DDEB4AF" wp14:editId="53C65ACA">
            <wp:simplePos x="0" y="0"/>
            <wp:positionH relativeFrom="margin">
              <wp:align>right</wp:align>
            </wp:positionH>
            <wp:positionV relativeFrom="paragraph">
              <wp:posOffset>3175</wp:posOffset>
            </wp:positionV>
            <wp:extent cx="2134235" cy="607695"/>
            <wp:effectExtent l="0" t="0" r="0" b="1905"/>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9"/>
                    <a:srcRect l="10096" t="38081" r="11847" b="38910"/>
                    <a:stretch>
                      <a:fillRect/>
                    </a:stretch>
                  </pic:blipFill>
                  <pic:spPr>
                    <a:xfrm>
                      <a:off x="0" y="0"/>
                      <a:ext cx="2134235" cy="607695"/>
                    </a:xfrm>
                    <a:prstGeom prst="rect">
                      <a:avLst/>
                    </a:prstGeom>
                  </pic:spPr>
                </pic:pic>
              </a:graphicData>
            </a:graphic>
          </wp:anchor>
        </w:drawing>
      </w:r>
      <w:r w:rsidR="00A82584">
        <w:rPr>
          <w:noProof/>
        </w:rPr>
        <w:drawing>
          <wp:anchor distT="0" distB="0" distL="114300" distR="114300" simplePos="0" relativeHeight="251657216" behindDoc="0" locked="0" layoutInCell="0" allowOverlap="1" wp14:anchorId="3F56BD57" wp14:editId="7DAA7EE1">
            <wp:simplePos x="0" y="0"/>
            <wp:positionH relativeFrom="column">
              <wp:posOffset>-1055370</wp:posOffset>
            </wp:positionH>
            <wp:positionV relativeFrom="margin">
              <wp:posOffset>-76200</wp:posOffset>
            </wp:positionV>
            <wp:extent cx="899795" cy="899795"/>
            <wp:effectExtent l="0" t="0" r="0" b="0"/>
            <wp:wrapTight wrapText="bothSides">
              <wp:wrapPolygon edited="0">
                <wp:start x="6054" y="0"/>
                <wp:lineTo x="2812" y="1731"/>
                <wp:lineTo x="-401" y="5323"/>
                <wp:lineTo x="-401" y="15663"/>
                <wp:lineTo x="4668" y="20595"/>
                <wp:lineTo x="6054" y="20595"/>
                <wp:lineTo x="14454" y="20595"/>
                <wp:lineTo x="15830" y="20595"/>
                <wp:lineTo x="20963" y="15663"/>
                <wp:lineTo x="20963" y="5323"/>
                <wp:lineTo x="17696" y="1731"/>
                <wp:lineTo x="14454" y="0"/>
                <wp:lineTo x="6054"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0"/>
                    <a:stretch>
                      <a:fillRect/>
                    </a:stretch>
                  </pic:blipFill>
                  <pic:spPr>
                    <a:xfrm>
                      <a:off x="0" y="0"/>
                      <a:ext cx="899795" cy="899795"/>
                    </a:xfrm>
                    <a:prstGeom prst="rect">
                      <a:avLst/>
                    </a:prstGeom>
                  </pic:spPr>
                </pic:pic>
              </a:graphicData>
            </a:graphic>
          </wp:anchor>
        </w:drawing>
      </w:r>
      <w:r w:rsidR="00A82584">
        <w:rPr>
          <w:rFonts w:ascii="Trebuchet MS" w:hAnsi="Trebuchet MS" w:cs="Trebuchet MS"/>
          <w:b/>
          <w:sz w:val="26"/>
          <w:szCs w:val="26"/>
        </w:rPr>
        <w:t>MINISTERUL FINANȚELOR</w:t>
      </w:r>
      <w:r w:rsidR="00A82584">
        <w:rPr>
          <w:rFonts w:ascii="Trebuchet MS" w:hAnsi="Trebuchet MS" w:cs="Trebuchet MS"/>
          <w:b/>
          <w:sz w:val="24"/>
          <w:szCs w:val="24"/>
        </w:rPr>
        <w:t xml:space="preserve">       </w:t>
      </w:r>
    </w:p>
    <w:p w:rsidR="00965F02" w:rsidRDefault="00A82584">
      <w:pPr>
        <w:shd w:val="clear" w:color="auto" w:fill="FFFFFF" w:themeFill="background1"/>
        <w:spacing w:after="103"/>
        <w:rPr>
          <w:rFonts w:ascii="Trebuchet MS" w:hAnsi="Trebuchet MS" w:cs="Trebuchet MS"/>
          <w:b/>
          <w:sz w:val="24"/>
          <w:szCs w:val="24"/>
          <w:lang w:val="ro-RO"/>
        </w:rPr>
      </w:pPr>
      <w:r>
        <w:rPr>
          <w:rFonts w:ascii="Trebuchet MS" w:hAnsi="Trebuchet MS" w:cs="Trebuchet MS"/>
          <w:b/>
          <w:sz w:val="24"/>
          <w:szCs w:val="24"/>
        </w:rPr>
        <w:t>AGEN</w:t>
      </w:r>
      <w:r>
        <w:rPr>
          <w:rFonts w:ascii="Trebuchet MS" w:hAnsi="Trebuchet MS" w:cs="Trebuchet MS"/>
          <w:b/>
          <w:sz w:val="24"/>
          <w:szCs w:val="24"/>
          <w:lang w:val="ro-RO"/>
        </w:rPr>
        <w:t>Ț</w:t>
      </w:r>
      <w:r>
        <w:rPr>
          <w:rFonts w:ascii="Trebuchet MS" w:hAnsi="Trebuchet MS" w:cs="Trebuchet MS"/>
          <w:b/>
          <w:sz w:val="24"/>
          <w:szCs w:val="24"/>
          <w:lang w:val="ro-RO"/>
        </w:rPr>
        <w:t>IA NAȚIONALĂ DE ADMINISTRARE FISCALĂ</w:t>
      </w:r>
    </w:p>
    <w:p w:rsidR="00965F02" w:rsidRDefault="00A82584">
      <w:pPr>
        <w:shd w:val="clear" w:color="auto" w:fill="FFFFFF" w:themeFill="background1"/>
        <w:spacing w:after="103"/>
        <w:rPr>
          <w:rFonts w:ascii="Trebuchet MS" w:hAnsi="Trebuchet MS" w:cs="Trebuchet MS"/>
          <w:b/>
          <w:sz w:val="24"/>
          <w:szCs w:val="24"/>
          <w:lang w:val="ro-RO"/>
        </w:rPr>
      </w:pPr>
      <w:r>
        <w:rPr>
          <w:rFonts w:ascii="Trebuchet MS" w:hAnsi="Trebuchet MS" w:cs="Trebuchet MS"/>
          <w:b/>
          <w:sz w:val="24"/>
          <w:szCs w:val="24"/>
          <w:lang w:val="ro-RO"/>
        </w:rPr>
        <w:t>DIRECȚIA GENEREALĂ ANTIFRAUDĂ FISCALĂ</w:t>
      </w:r>
    </w:p>
    <w:p w:rsidR="00965F02" w:rsidRDefault="00965F02">
      <w:pPr>
        <w:shd w:val="clear" w:color="auto" w:fill="FFFFFF" w:themeFill="background1"/>
        <w:tabs>
          <w:tab w:val="left" w:pos="0"/>
        </w:tabs>
        <w:rPr>
          <w:rFonts w:ascii="Trebuchet MS" w:hAnsi="Trebuchet MS" w:cs="Trebuchet MS"/>
          <w:b/>
          <w:bCs/>
          <w:sz w:val="28"/>
          <w:szCs w:val="28"/>
          <w:highlight w:val="white"/>
          <w:lang w:val="ro-RO"/>
        </w:rPr>
      </w:pPr>
    </w:p>
    <w:p w:rsidR="00965F02" w:rsidRDefault="00A82584">
      <w:pPr>
        <w:shd w:val="clear" w:color="auto" w:fill="FFFFFF" w:themeFill="background1"/>
        <w:tabs>
          <w:tab w:val="left" w:pos="0"/>
        </w:tabs>
        <w:jc w:val="center"/>
        <w:rPr>
          <w:rFonts w:ascii="Trebuchet MS" w:hAnsi="Trebuchet MS" w:cs="Trebuchet MS"/>
          <w:b/>
          <w:bCs/>
          <w:sz w:val="28"/>
          <w:szCs w:val="28"/>
          <w:highlight w:val="white"/>
        </w:rPr>
      </w:pPr>
      <w:r>
        <w:rPr>
          <w:rFonts w:ascii="Trebuchet MS" w:hAnsi="Trebuchet MS" w:cs="Trebuchet MS"/>
          <w:b/>
          <w:bCs/>
          <w:sz w:val="28"/>
          <w:szCs w:val="28"/>
          <w:highlight w:val="white"/>
        </w:rPr>
        <w:t>Referat</w:t>
      </w:r>
    </w:p>
    <w:p w:rsidR="00965F02" w:rsidRDefault="00A82584">
      <w:pPr>
        <w:shd w:val="clear" w:color="auto" w:fill="FFFFFF" w:themeFill="background1"/>
        <w:tabs>
          <w:tab w:val="left" w:pos="0"/>
        </w:tabs>
        <w:jc w:val="center"/>
        <w:rPr>
          <w:rFonts w:ascii="Trebuchet MS" w:hAnsi="Trebuchet MS" w:cs="Trebuchet MS"/>
          <w:b/>
          <w:bCs/>
          <w:sz w:val="24"/>
          <w:szCs w:val="24"/>
          <w:highlight w:val="white"/>
          <w:lang w:val="ro-RO"/>
        </w:rPr>
      </w:pPr>
      <w:r>
        <w:rPr>
          <w:rFonts w:ascii="Trebuchet MS" w:hAnsi="Trebuchet MS" w:cs="Trebuchet MS"/>
          <w:b/>
          <w:bCs/>
          <w:sz w:val="24"/>
          <w:szCs w:val="24"/>
          <w:highlight w:val="white"/>
          <w:lang w:val="ro-RO"/>
        </w:rPr>
        <w:t xml:space="preserve">pentru </w:t>
      </w:r>
      <w:r>
        <w:rPr>
          <w:rFonts w:ascii="Trebuchet MS" w:hAnsi="Trebuchet MS" w:cs="Trebuchet MS"/>
          <w:b/>
          <w:bCs/>
          <w:sz w:val="24"/>
          <w:szCs w:val="24"/>
          <w:highlight w:val="white"/>
          <w:lang w:val="ro-RO"/>
        </w:rPr>
        <w:t>modificarea si completarea Ordinului comun nr.417/120</w:t>
      </w:r>
      <w:r>
        <w:rPr>
          <w:rFonts w:ascii="Trebuchet MS" w:hAnsi="Trebuchet MS" w:cs="Trebuchet MS"/>
          <w:b/>
          <w:bCs/>
          <w:sz w:val="24"/>
          <w:szCs w:val="24"/>
          <w:highlight w:val="white"/>
        </w:rPr>
        <w:t>4</w:t>
      </w:r>
      <w:r>
        <w:rPr>
          <w:rFonts w:ascii="Trebuchet MS" w:hAnsi="Trebuchet MS" w:cs="Trebuchet MS"/>
          <w:b/>
          <w:bCs/>
          <w:sz w:val="24"/>
          <w:szCs w:val="24"/>
          <w:highlight w:val="white"/>
          <w:lang w:val="ro-RO"/>
        </w:rPr>
        <w:t xml:space="preserve">/2025 privind criteriile pentru evaluarea riscului fiscal in vederea determinarii operatorilor economici care prezinta risc fiscal ridicat, prevazuti la art 375 alin 1 si la art 435 alin 3 din Legea </w:t>
      </w:r>
      <w:r>
        <w:rPr>
          <w:rFonts w:ascii="Trebuchet MS" w:hAnsi="Trebuchet MS" w:cs="Trebuchet MS"/>
          <w:b/>
          <w:bCs/>
          <w:sz w:val="24"/>
          <w:szCs w:val="24"/>
          <w:highlight w:val="white"/>
          <w:lang w:val="ro-RO"/>
        </w:rPr>
        <w:t>227/2015 privind Codul Fiscal</w:t>
      </w:r>
    </w:p>
    <w:p w:rsidR="00965F02" w:rsidRDefault="00965F02">
      <w:pPr>
        <w:shd w:val="clear" w:color="auto" w:fill="FFFFFF" w:themeFill="background1"/>
        <w:tabs>
          <w:tab w:val="left" w:pos="0"/>
        </w:tabs>
        <w:jc w:val="center"/>
        <w:rPr>
          <w:rFonts w:ascii="Trebuchet MS" w:hAnsi="Trebuchet MS" w:cs="Trebuchet MS"/>
          <w:b/>
          <w:bCs/>
          <w:sz w:val="24"/>
          <w:szCs w:val="24"/>
          <w:highlight w:val="white"/>
          <w:lang w:val="ro-RO"/>
        </w:rPr>
      </w:pPr>
    </w:p>
    <w:p w:rsidR="00965F02" w:rsidRDefault="00A82584">
      <w:pPr>
        <w:shd w:val="clear" w:color="auto" w:fill="FFFFFF" w:themeFill="background1"/>
        <w:tabs>
          <w:tab w:val="left" w:pos="0"/>
        </w:tabs>
        <w:rPr>
          <w:rFonts w:ascii="Trebuchet MS" w:hAnsi="Trebuchet MS" w:cs="Trebuchet MS"/>
          <w:b/>
          <w:bCs/>
          <w:sz w:val="24"/>
          <w:szCs w:val="24"/>
          <w:highlight w:val="white"/>
          <w:lang w:val="ro-RO"/>
        </w:rPr>
      </w:pPr>
      <w:r>
        <w:rPr>
          <w:rFonts w:ascii="Trebuchet MS" w:hAnsi="Trebuchet MS" w:cs="Trebuchet MS"/>
          <w:sz w:val="24"/>
          <w:szCs w:val="24"/>
          <w:lang w:val="ro-RO"/>
        </w:rPr>
        <w:t>Prezenta modificare are drept scop revizuirea criteriilor de risc fiscal prevăzute în Ordinul nr. 417/1204/2025, în vederea realizarii unei evaluări mai corecte, echitabile și relevante a operatorilor economici care activează</w:t>
      </w:r>
      <w:r>
        <w:rPr>
          <w:rFonts w:ascii="Trebuchet MS" w:hAnsi="Trebuchet MS" w:cs="Trebuchet MS"/>
          <w:sz w:val="24"/>
          <w:szCs w:val="24"/>
          <w:lang w:val="ro-RO"/>
        </w:rPr>
        <w:t xml:space="preserve"> în domeniul produselor accizabile, cu accent pe identificarea reală a comportamentului fiscal inadecvat.</w:t>
      </w:r>
    </w:p>
    <w:p w:rsidR="00965F02" w:rsidRDefault="00A82584">
      <w:pPr>
        <w:shd w:val="clear" w:color="auto" w:fill="FFFFFF" w:themeFill="background1"/>
        <w:tabs>
          <w:tab w:val="left" w:pos="0"/>
        </w:tabs>
        <w:rPr>
          <w:rFonts w:ascii="Trebuchet MS" w:hAnsi="Trebuchet MS" w:cs="Trebuchet MS"/>
          <w:bCs/>
          <w:sz w:val="24"/>
          <w:szCs w:val="24"/>
          <w:highlight w:val="white"/>
          <w:lang w:val="ro-RO"/>
        </w:rPr>
      </w:pPr>
      <w:r>
        <w:rPr>
          <w:rFonts w:ascii="Trebuchet MS" w:hAnsi="Trebuchet MS" w:cs="Trebuchet MS"/>
          <w:bCs/>
          <w:sz w:val="24"/>
          <w:szCs w:val="24"/>
          <w:highlight w:val="white"/>
          <w:lang w:val="ro-RO"/>
        </w:rPr>
        <w:t>In urma analizelor efectuate ca urmare a punerii in aplicare a prevederilor Ordinului 417/</w:t>
      </w:r>
      <w:r>
        <w:rPr>
          <w:rFonts w:ascii="Trebuchet MS" w:hAnsi="Trebuchet MS" w:cs="Trebuchet MS"/>
          <w:bCs/>
          <w:sz w:val="24"/>
          <w:szCs w:val="24"/>
          <w:highlight w:val="white"/>
        </w:rPr>
        <w:t>1204/</w:t>
      </w:r>
      <w:r>
        <w:rPr>
          <w:rFonts w:ascii="Trebuchet MS" w:hAnsi="Trebuchet MS" w:cs="Trebuchet MS"/>
          <w:bCs/>
          <w:sz w:val="24"/>
          <w:szCs w:val="24"/>
          <w:highlight w:val="white"/>
          <w:lang w:val="ro-RO"/>
        </w:rPr>
        <w:t>2025, am constatat faptul ca exista operatori economici</w:t>
      </w:r>
      <w:r>
        <w:rPr>
          <w:rFonts w:ascii="Trebuchet MS" w:hAnsi="Trebuchet MS" w:cs="Trebuchet MS"/>
          <w:bCs/>
          <w:sz w:val="24"/>
          <w:szCs w:val="24"/>
          <w:highlight w:val="white"/>
          <w:lang w:val="ro-RO"/>
        </w:rPr>
        <w:t xml:space="preserve"> pentru care desi au fost identificate riscuri fiscale ca urmare analizelor si/sau controalelor efectuate, acestea nu se incadreaza in criteriile pentru evaluarea riscului prevazute in Ordin. Pe de alta parte, au fost identificati operatori economici care,</w:t>
      </w:r>
      <w:r>
        <w:rPr>
          <w:rFonts w:ascii="Trebuchet MS" w:hAnsi="Trebuchet MS" w:cs="Trebuchet MS"/>
          <w:bCs/>
          <w:sz w:val="24"/>
          <w:szCs w:val="24"/>
          <w:highlight w:val="white"/>
          <w:lang w:val="ro-RO"/>
        </w:rPr>
        <w:t xml:space="preserve"> desi nu au prezentat riscuri fiscale ca urmare analizelor si/sau controalelor efectuate, sunt incadrati la risc fiscal in baza criteriilor pentru evaluarea riscului prevazute in Ordin.</w:t>
      </w:r>
    </w:p>
    <w:p w:rsidR="00965F02" w:rsidRDefault="00A82584">
      <w:pPr>
        <w:shd w:val="clear" w:color="auto" w:fill="FFFFFF" w:themeFill="background1"/>
        <w:tabs>
          <w:tab w:val="left" w:pos="0"/>
        </w:tabs>
        <w:rPr>
          <w:rFonts w:ascii="Trebuchet MS" w:hAnsi="Trebuchet MS" w:cs="Trebuchet MS"/>
          <w:bCs/>
          <w:sz w:val="24"/>
          <w:szCs w:val="24"/>
          <w:highlight w:val="white"/>
          <w:lang w:val="ro-RO"/>
        </w:rPr>
      </w:pPr>
      <w:r>
        <w:rPr>
          <w:rFonts w:ascii="Trebuchet MS" w:hAnsi="Trebuchet MS" w:cs="Trebuchet MS"/>
          <w:bCs/>
          <w:sz w:val="24"/>
          <w:szCs w:val="24"/>
          <w:highlight w:val="white"/>
          <w:lang w:val="ro-RO"/>
        </w:rPr>
        <w:t>Aceasta situatie evidentiaza o necorelare intre criteriile de evaluare</w:t>
      </w:r>
      <w:r>
        <w:rPr>
          <w:rFonts w:ascii="Trebuchet MS" w:hAnsi="Trebuchet MS" w:cs="Trebuchet MS"/>
          <w:bCs/>
          <w:sz w:val="24"/>
          <w:szCs w:val="24"/>
          <w:highlight w:val="white"/>
          <w:lang w:val="ro-RO"/>
        </w:rPr>
        <w:t xml:space="preserve"> si realitatea datelor rezultate ca urmare a analizelor si/sau a constatarilor din teren, ceea ce poate influenta acuratetea clasificarii din punct de vedere al riscului fiscal a operatorilor economici. </w:t>
      </w:r>
    </w:p>
    <w:p w:rsidR="00965F02" w:rsidRDefault="00A82584">
      <w:pPr>
        <w:shd w:val="clear" w:color="auto" w:fill="FFFFFF" w:themeFill="background1"/>
        <w:tabs>
          <w:tab w:val="left" w:pos="0"/>
        </w:tabs>
        <w:rPr>
          <w:rFonts w:ascii="Trebuchet MS" w:hAnsi="Trebuchet MS" w:cs="Trebuchet MS"/>
          <w:bCs/>
          <w:sz w:val="24"/>
          <w:szCs w:val="24"/>
          <w:highlight w:val="white"/>
          <w:lang w:val="ro-RO"/>
        </w:rPr>
      </w:pPr>
      <w:r>
        <w:rPr>
          <w:rFonts w:ascii="Trebuchet MS" w:hAnsi="Trebuchet MS" w:cs="Trebuchet MS"/>
          <w:bCs/>
          <w:sz w:val="24"/>
          <w:szCs w:val="24"/>
          <w:highlight w:val="white"/>
          <w:lang w:val="ro-RO"/>
        </w:rPr>
        <w:t>Pentru a corecta acesta neconcordanta si a asigura o</w:t>
      </w:r>
      <w:r>
        <w:rPr>
          <w:rFonts w:ascii="Trebuchet MS" w:hAnsi="Trebuchet MS" w:cs="Trebuchet MS"/>
          <w:bCs/>
          <w:sz w:val="24"/>
          <w:szCs w:val="24"/>
          <w:highlight w:val="white"/>
          <w:lang w:val="ro-RO"/>
        </w:rPr>
        <w:t xml:space="preserve"> evaluare cat mai obiectiva si eficienta a riscului fiscal, se impune revizuirea criteriilor de evaluare a riscului fiscal pre</w:t>
      </w:r>
      <w:r>
        <w:rPr>
          <w:rFonts w:ascii="Trebuchet MS" w:hAnsi="Trebuchet MS" w:cs="Trebuchet MS"/>
          <w:bCs/>
          <w:sz w:val="24"/>
          <w:szCs w:val="24"/>
          <w:highlight w:val="white"/>
        </w:rPr>
        <w:t>v</w:t>
      </w:r>
      <w:r>
        <w:rPr>
          <w:rFonts w:ascii="Trebuchet MS" w:hAnsi="Trebuchet MS" w:cs="Trebuchet MS"/>
          <w:bCs/>
          <w:sz w:val="24"/>
          <w:szCs w:val="24"/>
          <w:highlight w:val="white"/>
          <w:lang w:val="ro-RO"/>
        </w:rPr>
        <w:t>azute in Ordinul comun 417/</w:t>
      </w:r>
      <w:r>
        <w:rPr>
          <w:rFonts w:ascii="Trebuchet MS" w:hAnsi="Trebuchet MS" w:cs="Trebuchet MS"/>
          <w:bCs/>
          <w:sz w:val="24"/>
          <w:szCs w:val="24"/>
          <w:highlight w:val="white"/>
        </w:rPr>
        <w:t>1204/</w:t>
      </w:r>
      <w:r>
        <w:rPr>
          <w:rFonts w:ascii="Trebuchet MS" w:hAnsi="Trebuchet MS" w:cs="Trebuchet MS"/>
          <w:bCs/>
          <w:sz w:val="24"/>
          <w:szCs w:val="24"/>
          <w:highlight w:val="white"/>
          <w:lang w:val="ro-RO"/>
        </w:rPr>
        <w:t>2025, astfel incat acestea sa reflecte in mod real comportamentul fiscal al operatorilor economic</w:t>
      </w:r>
      <w:r>
        <w:rPr>
          <w:rFonts w:ascii="Trebuchet MS" w:hAnsi="Trebuchet MS" w:cs="Trebuchet MS"/>
          <w:bCs/>
          <w:sz w:val="24"/>
          <w:szCs w:val="24"/>
          <w:highlight w:val="white"/>
          <w:lang w:val="ro-RO"/>
        </w:rPr>
        <w:t>i, inclusiv avand la baza rezultatele controalelor efectuate anterior. Ar fi utila introducerea unei componente calitative, care sa tina cont de istoricul fiscal al operatorului economic, abaterile constatate si gravitatea acestora.</w:t>
      </w:r>
    </w:p>
    <w:p w:rsidR="00965F02" w:rsidRDefault="00A82584">
      <w:pPr>
        <w:shd w:val="clear" w:color="auto" w:fill="FFFFFF" w:themeFill="background1"/>
        <w:tabs>
          <w:tab w:val="left" w:pos="0"/>
        </w:tabs>
        <w:rPr>
          <w:rFonts w:ascii="Trebuchet MS" w:hAnsi="Trebuchet MS" w:cs="Trebuchet MS"/>
          <w:bCs/>
          <w:sz w:val="24"/>
          <w:szCs w:val="24"/>
          <w:highlight w:val="white"/>
          <w:lang w:val="ro-RO"/>
        </w:rPr>
      </w:pPr>
      <w:r>
        <w:rPr>
          <w:rFonts w:ascii="Trebuchet MS" w:hAnsi="Trebuchet MS" w:cs="Trebuchet MS"/>
          <w:bCs/>
          <w:sz w:val="24"/>
          <w:szCs w:val="24"/>
          <w:highlight w:val="white"/>
          <w:lang w:val="ro-RO"/>
        </w:rPr>
        <w:t>Introducerea unui mecan</w:t>
      </w:r>
      <w:r>
        <w:rPr>
          <w:rFonts w:ascii="Trebuchet MS" w:hAnsi="Trebuchet MS" w:cs="Trebuchet MS"/>
          <w:bCs/>
          <w:sz w:val="24"/>
          <w:szCs w:val="24"/>
          <w:highlight w:val="white"/>
          <w:lang w:val="ro-RO"/>
        </w:rPr>
        <w:t>ism de actualizare periodica a incadrarii in risc, pe baza informatiilor rezultate in urma verificarilor antifrauda/verificarilor organelor vamale/inspectiilor fiscale si din alte surse de date relevante.</w:t>
      </w:r>
    </w:p>
    <w:p w:rsidR="00965F02" w:rsidRDefault="00A82584">
      <w:pPr>
        <w:shd w:val="clear" w:color="auto" w:fill="FFFFFF" w:themeFill="background1"/>
        <w:tabs>
          <w:tab w:val="left" w:pos="0"/>
        </w:tabs>
        <w:rPr>
          <w:rFonts w:ascii="Trebuchet MS" w:hAnsi="Trebuchet MS" w:cs="Trebuchet MS"/>
          <w:bCs/>
          <w:sz w:val="24"/>
          <w:szCs w:val="24"/>
          <w:highlight w:val="white"/>
          <w:lang w:val="ro-RO"/>
        </w:rPr>
      </w:pPr>
      <w:r>
        <w:rPr>
          <w:rFonts w:ascii="Trebuchet MS" w:hAnsi="Trebuchet MS" w:cs="Trebuchet MS"/>
          <w:bCs/>
          <w:sz w:val="24"/>
          <w:szCs w:val="24"/>
          <w:highlight w:val="white"/>
          <w:lang w:val="ro-RO"/>
        </w:rPr>
        <w:t>Introducerea unei proceduri de reevaluare periodica</w:t>
      </w:r>
      <w:r>
        <w:rPr>
          <w:rFonts w:ascii="Trebuchet MS" w:hAnsi="Trebuchet MS" w:cs="Trebuchet MS"/>
          <w:bCs/>
          <w:sz w:val="24"/>
          <w:szCs w:val="24"/>
          <w:highlight w:val="white"/>
          <w:lang w:val="ro-RO"/>
        </w:rPr>
        <w:t>, cel putin anuala, a incadrarii in risc fiscal, in baza datelor actualiazate.</w:t>
      </w:r>
    </w:p>
    <w:p w:rsidR="00965F02" w:rsidRDefault="00A82584">
      <w:pPr>
        <w:shd w:val="clear" w:color="auto" w:fill="FFFFFF" w:themeFill="background1"/>
        <w:tabs>
          <w:tab w:val="left" w:pos="0"/>
        </w:tabs>
        <w:rPr>
          <w:rFonts w:ascii="Trebuchet MS" w:hAnsi="Trebuchet MS" w:cs="Trebuchet MS"/>
          <w:b/>
          <w:bCs/>
          <w:sz w:val="24"/>
          <w:szCs w:val="24"/>
          <w:highlight w:val="white"/>
          <w:lang w:val="ro-RO"/>
        </w:rPr>
      </w:pPr>
      <w:r>
        <w:rPr>
          <w:rFonts w:ascii="Trebuchet MS" w:hAnsi="Trebuchet MS" w:cs="Trebuchet MS"/>
          <w:bCs/>
          <w:sz w:val="24"/>
          <w:szCs w:val="24"/>
          <w:highlight w:val="white"/>
          <w:lang w:val="ro-RO"/>
        </w:rPr>
        <w:t>Corelarea evaluarii riscului fiscal cu rezultatele controalelor efectuate.</w:t>
      </w:r>
    </w:p>
    <w:p w:rsidR="00775666" w:rsidRDefault="00775666">
      <w:pPr>
        <w:shd w:val="clear" w:color="auto" w:fill="FFFFFF" w:themeFill="background1"/>
        <w:tabs>
          <w:tab w:val="left" w:pos="0"/>
        </w:tabs>
        <w:jc w:val="center"/>
        <w:rPr>
          <w:rFonts w:ascii="Trebuchet MS" w:hAnsi="Trebuchet MS" w:cs="Trebuchet MS"/>
          <w:b/>
          <w:bCs/>
          <w:sz w:val="24"/>
          <w:szCs w:val="24"/>
          <w:highlight w:val="white"/>
          <w:lang w:val="ro-RO"/>
        </w:rPr>
      </w:pPr>
    </w:p>
    <w:p w:rsidR="00775666" w:rsidRDefault="00775666">
      <w:pPr>
        <w:shd w:val="clear" w:color="auto" w:fill="FFFFFF" w:themeFill="background1"/>
        <w:tabs>
          <w:tab w:val="left" w:pos="0"/>
        </w:tabs>
        <w:jc w:val="center"/>
        <w:rPr>
          <w:rFonts w:ascii="Trebuchet MS" w:hAnsi="Trebuchet MS" w:cs="Trebuchet MS"/>
          <w:b/>
          <w:bCs/>
          <w:sz w:val="24"/>
          <w:szCs w:val="24"/>
          <w:highlight w:val="white"/>
          <w:lang w:val="ro-RO"/>
        </w:rPr>
      </w:pPr>
    </w:p>
    <w:p w:rsidR="00965F02" w:rsidRDefault="00A82584">
      <w:pPr>
        <w:shd w:val="clear" w:color="auto" w:fill="FFFFFF" w:themeFill="background1"/>
        <w:tabs>
          <w:tab w:val="left" w:pos="0"/>
        </w:tabs>
        <w:jc w:val="center"/>
        <w:rPr>
          <w:rFonts w:ascii="Trebuchet MS" w:hAnsi="Trebuchet MS" w:cs="Trebuchet MS"/>
          <w:b/>
          <w:bCs/>
          <w:sz w:val="24"/>
          <w:szCs w:val="24"/>
          <w:highlight w:val="white"/>
          <w:lang w:val="ro-RO"/>
        </w:rPr>
      </w:pPr>
      <w:bookmarkStart w:id="0" w:name="_GoBack"/>
      <w:bookmarkEnd w:id="0"/>
      <w:r>
        <w:rPr>
          <w:rFonts w:ascii="Trebuchet MS" w:hAnsi="Trebuchet MS" w:cs="Trebuchet MS"/>
          <w:b/>
          <w:bCs/>
          <w:sz w:val="24"/>
          <w:szCs w:val="24"/>
          <w:highlight w:val="white"/>
          <w:lang w:val="ro-RO"/>
        </w:rPr>
        <w:lastRenderedPageBreak/>
        <w:t>Constatari și propuneri de modificare</w:t>
      </w:r>
    </w:p>
    <w:p w:rsidR="00965F02" w:rsidRDefault="00965F02">
      <w:pPr>
        <w:shd w:val="clear" w:color="auto" w:fill="FFFFFF" w:themeFill="background1"/>
        <w:tabs>
          <w:tab w:val="left" w:pos="0"/>
        </w:tabs>
        <w:jc w:val="center"/>
        <w:rPr>
          <w:rFonts w:ascii="Trebuchet MS" w:hAnsi="Trebuchet MS" w:cs="Trebuchet MS"/>
          <w:b/>
          <w:bCs/>
          <w:sz w:val="24"/>
          <w:szCs w:val="24"/>
          <w:highlight w:val="white"/>
          <w:lang w:val="ro-RO"/>
        </w:rPr>
      </w:pPr>
    </w:p>
    <w:p w:rsidR="00965F02" w:rsidRDefault="00A82584">
      <w:pPr>
        <w:shd w:val="clear" w:color="auto" w:fill="FFFFFF" w:themeFill="background1"/>
        <w:tabs>
          <w:tab w:val="left" w:pos="0"/>
        </w:tabs>
        <w:rPr>
          <w:rFonts w:ascii="Trebuchet MS" w:hAnsi="Trebuchet MS" w:cs="Trebuchet MS"/>
          <w:b/>
          <w:bCs/>
          <w:sz w:val="24"/>
          <w:szCs w:val="24"/>
          <w:lang w:val="ro-RO"/>
        </w:rPr>
      </w:pPr>
      <w:r>
        <w:rPr>
          <w:rFonts w:ascii="Trebuchet MS" w:hAnsi="Trebuchet MS" w:cs="Trebuchet MS"/>
          <w:b/>
          <w:bCs/>
          <w:sz w:val="24"/>
          <w:szCs w:val="24"/>
          <w:lang w:val="ro-RO"/>
        </w:rPr>
        <w:t>1. Referitor la art. 1, pct. 4, alin. (1)</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Observație: Aplicarea</w:t>
      </w:r>
      <w:r>
        <w:rPr>
          <w:rFonts w:ascii="Trebuchet MS" w:hAnsi="Trebuchet MS" w:cs="Trebuchet MS"/>
          <w:sz w:val="24"/>
          <w:szCs w:val="24"/>
          <w:lang w:val="ro-RO"/>
        </w:rPr>
        <w:t xml:space="preserve"> actuală a criteriului privind lipsa punctelor de lucru și a activelor patrimoniale a condus la identificarea ca având risc fiscal ridicat a unor societăți care, în realitate, nu prezintă un comportament fiscal inadecvat. Majoritatea acestor societăți și-a</w:t>
      </w:r>
      <w:r>
        <w:rPr>
          <w:rFonts w:ascii="Trebuchet MS" w:hAnsi="Trebuchet MS" w:cs="Trebuchet MS"/>
          <w:sz w:val="24"/>
          <w:szCs w:val="24"/>
          <w:lang w:val="ro-RO"/>
        </w:rPr>
        <w:t>u înregistrat un sediu secundar la adresa sediului social, ceea ce nu reflectă neapărat un risc fiscal.</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Constatare: În schimb, controalele au evidențiat că operatorii economici cu comportament fiscal necorespunzător au declarat atât sediul social, cât și d</w:t>
      </w:r>
      <w:r>
        <w:rPr>
          <w:rFonts w:ascii="Trebuchet MS" w:hAnsi="Trebuchet MS" w:cs="Trebuchet MS"/>
          <w:sz w:val="24"/>
          <w:szCs w:val="24"/>
          <w:lang w:val="ro-RO"/>
        </w:rPr>
        <w:t>omiciliul fiscal la adrese aparținând unor cabinete de avocatură. Conform contractelor de asistență juridică prezentate, aceste adrese sunt utilizate exclusiv pentru corespondență, iar avocații nu au avut ulterior niciun contact cu reprezentanții societăți</w:t>
      </w:r>
      <w:r>
        <w:rPr>
          <w:rFonts w:ascii="Trebuchet MS" w:hAnsi="Trebuchet MS" w:cs="Trebuchet MS"/>
          <w:sz w:val="24"/>
          <w:szCs w:val="24"/>
          <w:lang w:val="ro-RO"/>
        </w:rPr>
        <w:t>lor respective. Astfel, autoritățile fiscale nu au putut identifica locul real de desfășurare a activității acestor entități.</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Propunere de modificare: Înlocuirea pct. 4 cu următoarea formulare:</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w:t>
      </w:r>
      <w:r>
        <w:rPr>
          <w:rFonts w:ascii="Trebuchet MS" w:hAnsi="Trebuchet MS" w:cs="Trebuchet MS"/>
          <w:sz w:val="24"/>
          <w:szCs w:val="24"/>
        </w:rPr>
        <w:t>o</w:t>
      </w:r>
      <w:r>
        <w:rPr>
          <w:rFonts w:ascii="Trebuchet MS" w:hAnsi="Trebuchet MS" w:cs="Trebuchet MS"/>
          <w:sz w:val="24"/>
          <w:szCs w:val="24"/>
          <w:lang w:val="ro-RO"/>
        </w:rPr>
        <w:t>peratorii economici care au declarat domiciliul fiscal la se</w:t>
      </w:r>
      <w:r>
        <w:rPr>
          <w:rFonts w:ascii="Trebuchet MS" w:hAnsi="Trebuchet MS" w:cs="Trebuchet MS"/>
          <w:sz w:val="24"/>
          <w:szCs w:val="24"/>
          <w:lang w:val="ro-RO"/>
        </w:rPr>
        <w:t>diul unui cabinet de avocatură.”</w:t>
      </w:r>
    </w:p>
    <w:p w:rsidR="00965F02" w:rsidRDefault="00A82584">
      <w:pPr>
        <w:shd w:val="clear" w:color="auto" w:fill="FFFFFF" w:themeFill="background1"/>
        <w:tabs>
          <w:tab w:val="left" w:pos="0"/>
        </w:tabs>
        <w:rPr>
          <w:rFonts w:ascii="Trebuchet MS" w:hAnsi="Trebuchet MS" w:cs="Trebuchet MS"/>
          <w:b/>
          <w:bCs/>
          <w:sz w:val="24"/>
          <w:szCs w:val="24"/>
          <w:lang w:val="ro-RO"/>
        </w:rPr>
      </w:pPr>
      <w:r>
        <w:rPr>
          <w:rFonts w:ascii="Trebuchet MS" w:hAnsi="Trebuchet MS" w:cs="Trebuchet MS"/>
          <w:b/>
          <w:bCs/>
          <w:sz w:val="24"/>
          <w:szCs w:val="24"/>
          <w:lang w:val="ro-RO"/>
        </w:rPr>
        <w:t>2. Referitor la art. 1, pct. 4, alin. (2)</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 xml:space="preserve">Observație: Criteriul privind lipsa activelor patrimoniale poate conduce la interpretări eronate, întrucât activele financiare sunt incluse în categoria activelor patrimoniale. </w:t>
      </w:r>
      <w:r>
        <w:rPr>
          <w:rFonts w:ascii="Trebuchet MS" w:hAnsi="Trebuchet MS" w:cs="Trebuchet MS"/>
          <w:sz w:val="24"/>
          <w:szCs w:val="24"/>
          <w:lang w:val="ro-RO"/>
        </w:rPr>
        <w:t>Astfel, o societate care dispune de fonduri financiare deține, implicit, active patrimoniale.</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Propunere de modificare: Eliminarea acestui criteriu pentru a evita clasificarea incorectă a unor contribuabili ca având risc fiscal ridicat.</w:t>
      </w:r>
    </w:p>
    <w:p w:rsidR="00965F02" w:rsidRDefault="00A82584">
      <w:pPr>
        <w:shd w:val="clear" w:color="auto" w:fill="FFFFFF" w:themeFill="background1"/>
        <w:tabs>
          <w:tab w:val="left" w:pos="0"/>
        </w:tabs>
        <w:rPr>
          <w:rFonts w:ascii="Trebuchet MS" w:hAnsi="Trebuchet MS" w:cs="Trebuchet MS"/>
          <w:b/>
          <w:bCs/>
          <w:sz w:val="24"/>
          <w:szCs w:val="24"/>
          <w:lang w:val="ro-RO"/>
        </w:rPr>
      </w:pPr>
      <w:r>
        <w:rPr>
          <w:rFonts w:ascii="Trebuchet MS" w:hAnsi="Trebuchet MS" w:cs="Trebuchet MS"/>
          <w:b/>
          <w:bCs/>
          <w:sz w:val="24"/>
          <w:szCs w:val="24"/>
          <w:lang w:val="ro-RO"/>
        </w:rPr>
        <w:t>3. Referitor la art.</w:t>
      </w:r>
      <w:r>
        <w:rPr>
          <w:rFonts w:ascii="Trebuchet MS" w:hAnsi="Trebuchet MS" w:cs="Trebuchet MS"/>
          <w:b/>
          <w:bCs/>
          <w:sz w:val="24"/>
          <w:szCs w:val="24"/>
          <w:lang w:val="ro-RO"/>
        </w:rPr>
        <w:t xml:space="preserve"> 1, pct. 4, alin. (3)</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Observație: Criteriul menționat are relevanță semnificativă și merită o abordare distinctă în evaluarea riscului fiscal.</w:t>
      </w:r>
    </w:p>
    <w:p w:rsidR="00965F02" w:rsidRDefault="00A82584">
      <w:pPr>
        <w:shd w:val="clear" w:color="auto" w:fill="FFFFFF" w:themeFill="background1"/>
        <w:tabs>
          <w:tab w:val="left" w:pos="0"/>
        </w:tabs>
        <w:rPr>
          <w:rFonts w:ascii="Trebuchet MS" w:hAnsi="Trebuchet MS" w:cs="Trebuchet MS"/>
          <w:sz w:val="24"/>
          <w:szCs w:val="24"/>
          <w:highlight w:val="white"/>
          <w:lang w:val="ro-RO"/>
        </w:rPr>
      </w:pPr>
      <w:r>
        <w:rPr>
          <w:rFonts w:ascii="Trebuchet MS" w:hAnsi="Trebuchet MS" w:cs="Trebuchet MS"/>
          <w:sz w:val="24"/>
          <w:szCs w:val="24"/>
          <w:lang w:val="ro-RO"/>
        </w:rPr>
        <w:t>Propunere de modificare: Reformularea acestui criteriu ca un punct de sine stătător,  pentru a reflecta importanț</w:t>
      </w:r>
      <w:r>
        <w:rPr>
          <w:rFonts w:ascii="Trebuchet MS" w:hAnsi="Trebuchet MS" w:cs="Trebuchet MS"/>
          <w:sz w:val="24"/>
          <w:szCs w:val="24"/>
          <w:lang w:val="ro-RO"/>
        </w:rPr>
        <w:t>a sa în analiza riscului fiscal.</w:t>
      </w:r>
    </w:p>
    <w:p w:rsidR="00965F02" w:rsidRDefault="00A82584">
      <w:pPr>
        <w:shd w:val="clear" w:color="auto" w:fill="FFFFFF" w:themeFill="background1"/>
        <w:tabs>
          <w:tab w:val="left" w:pos="0"/>
        </w:tabs>
        <w:rPr>
          <w:rFonts w:ascii="Trebuchet MS" w:hAnsi="Trebuchet MS" w:cs="Trebuchet MS"/>
          <w:b/>
          <w:sz w:val="24"/>
          <w:szCs w:val="24"/>
          <w:lang w:val="ro-RO"/>
        </w:rPr>
      </w:pPr>
      <w:r>
        <w:rPr>
          <w:rFonts w:ascii="Trebuchet MS" w:hAnsi="Trebuchet MS" w:cs="Trebuchet MS"/>
          <w:b/>
          <w:sz w:val="24"/>
          <w:szCs w:val="24"/>
          <w:lang w:val="ro-RO"/>
        </w:rPr>
        <w:t xml:space="preserve">4. </w:t>
      </w:r>
      <w:r>
        <w:rPr>
          <w:rFonts w:ascii="Trebuchet MS" w:hAnsi="Trebuchet MS" w:cs="Trebuchet MS"/>
          <w:b/>
          <w:sz w:val="24"/>
          <w:szCs w:val="24"/>
        </w:rPr>
        <w:t>Referitor la</w:t>
      </w:r>
      <w:r>
        <w:rPr>
          <w:rFonts w:ascii="Trebuchet MS" w:hAnsi="Trebuchet MS" w:cs="Trebuchet MS"/>
          <w:b/>
          <w:sz w:val="24"/>
          <w:szCs w:val="24"/>
          <w:lang w:val="ro-RO"/>
        </w:rPr>
        <w:t xml:space="preserve"> art. 1, pct. 5 </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xml:space="preserve">În forma actuală, prevederile art. 1, pct. 5 din Ordinul nr. 417/1204/2025 fac referire exclusiv la „operatorii economici autorizați în domeniul produselor accizabile”. Această formulare </w:t>
      </w:r>
      <w:r>
        <w:rPr>
          <w:rFonts w:ascii="Trebuchet MS" w:hAnsi="Trebuchet MS" w:cs="Trebuchet MS"/>
          <w:bCs/>
          <w:sz w:val="24"/>
          <w:szCs w:val="24"/>
          <w:lang w:val="ro-RO"/>
        </w:rPr>
        <w:t>poate genera interpretări restrictive, în sensul în care operatorii economici care desfășoară activități de distribuție și comerț angro cu produse accizabile, dar care nu necesită autorizare, ci doar înregistrare conform art. 435 pct. 3 din Codul fiscal, n</w:t>
      </w:r>
      <w:r>
        <w:rPr>
          <w:rFonts w:ascii="Trebuchet MS" w:hAnsi="Trebuchet MS" w:cs="Trebuchet MS"/>
          <w:bCs/>
          <w:sz w:val="24"/>
          <w:szCs w:val="24"/>
          <w:lang w:val="ro-RO"/>
        </w:rPr>
        <w:t>u ar fi incluși în categoria entităților relevante din perspectiva riscului fiscal.</w:t>
      </w:r>
    </w:p>
    <w:p w:rsidR="00965F02" w:rsidRDefault="00965F02">
      <w:pPr>
        <w:shd w:val="clear" w:color="auto" w:fill="FFFFFF" w:themeFill="background1"/>
        <w:tabs>
          <w:tab w:val="left" w:pos="0"/>
        </w:tabs>
        <w:rPr>
          <w:rFonts w:ascii="Trebuchet MS" w:hAnsi="Trebuchet MS" w:cs="Trebuchet MS"/>
          <w:bCs/>
          <w:sz w:val="24"/>
          <w:szCs w:val="24"/>
          <w:lang w:val="ro-RO"/>
        </w:rPr>
      </w:pP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lastRenderedPageBreak/>
        <w:t>Această limitare nu reflectă corect realitatea juridică și fiscală, întrucât și acești operatori înregistrați, fără a fi autorizați în sens clasic, pot genera riscuri semn</w:t>
      </w:r>
      <w:r>
        <w:rPr>
          <w:rFonts w:ascii="Trebuchet MS" w:hAnsi="Trebuchet MS" w:cs="Trebuchet MS"/>
          <w:bCs/>
          <w:sz w:val="24"/>
          <w:szCs w:val="24"/>
          <w:lang w:val="ro-RO"/>
        </w:rPr>
        <w:t>ificative privind conformarea fiscală, dată fiind natura sensibilă a produselor accizabile.</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Propunere de modificare, pentru a asigura o aplicare unitară și echitabilă a criteriilor de evaluare a riscului fiscal, propunem următoarea reformulare a art. 1, pc</w:t>
      </w:r>
      <w:r>
        <w:rPr>
          <w:rFonts w:ascii="Trebuchet MS" w:hAnsi="Trebuchet MS" w:cs="Trebuchet MS"/>
          <w:bCs/>
          <w:sz w:val="24"/>
          <w:szCs w:val="24"/>
          <w:lang w:val="ro-RO"/>
        </w:rPr>
        <w:t>t. 5:</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xml:space="preserve"> „</w:t>
      </w:r>
      <w:r>
        <w:rPr>
          <w:rFonts w:ascii="Trebuchet MS" w:hAnsi="Trebuchet MS" w:cs="Trebuchet MS"/>
          <w:bCs/>
          <w:sz w:val="24"/>
          <w:szCs w:val="24"/>
        </w:rPr>
        <w:t>o</w:t>
      </w:r>
      <w:r>
        <w:rPr>
          <w:rFonts w:ascii="Trebuchet MS" w:hAnsi="Trebuchet MS" w:cs="Trebuchet MS"/>
          <w:bCs/>
          <w:sz w:val="24"/>
          <w:szCs w:val="24"/>
          <w:lang w:val="ro-RO"/>
        </w:rPr>
        <w:t>peratorii economici care au</w:t>
      </w:r>
      <w:r>
        <w:rPr>
          <w:rFonts w:ascii="Trebuchet MS" w:hAnsi="Trebuchet MS" w:cs="Trebuchet MS"/>
          <w:bCs/>
          <w:sz w:val="24"/>
          <w:szCs w:val="24"/>
        </w:rPr>
        <w:t xml:space="preserve"> ob</w:t>
      </w:r>
      <w:r>
        <w:rPr>
          <w:rFonts w:ascii="Trebuchet MS" w:hAnsi="Trebuchet MS" w:cs="Trebuchet MS"/>
          <w:bCs/>
          <w:sz w:val="24"/>
          <w:szCs w:val="24"/>
          <w:lang w:val="ro-RO"/>
        </w:rPr>
        <w:t>ț</w:t>
      </w:r>
      <w:r>
        <w:rPr>
          <w:rFonts w:ascii="Trebuchet MS" w:hAnsi="Trebuchet MS" w:cs="Trebuchet MS"/>
          <w:bCs/>
          <w:sz w:val="24"/>
          <w:szCs w:val="24"/>
          <w:lang w:val="ro-RO"/>
        </w:rPr>
        <w:t>inut autorizații și/sau au fost înregistrați în domeniul comercializării produselor accizabile în ultimele 12 luni. Nu întră în această categorie operatorii economici care au reînoit în ultimile 12 luni autorizațiile</w:t>
      </w:r>
      <w:r>
        <w:rPr>
          <w:rFonts w:ascii="Trebuchet MS" w:hAnsi="Trebuchet MS" w:cs="Trebuchet MS"/>
          <w:bCs/>
          <w:sz w:val="24"/>
          <w:szCs w:val="24"/>
          <w:lang w:val="ro-RO"/>
        </w:rPr>
        <w:t xml:space="preserve"> obținute anterior.”</w:t>
      </w:r>
    </w:p>
    <w:p w:rsidR="00965F02" w:rsidRDefault="00A82584">
      <w:pPr>
        <w:shd w:val="clear" w:color="auto" w:fill="FFFFFF" w:themeFill="background1"/>
        <w:tabs>
          <w:tab w:val="left" w:pos="0"/>
        </w:tabs>
        <w:rPr>
          <w:rFonts w:ascii="Trebuchet MS" w:hAnsi="Trebuchet MS" w:cs="Trebuchet MS"/>
          <w:bCs/>
          <w:sz w:val="24"/>
          <w:szCs w:val="24"/>
          <w:highlight w:val="white"/>
          <w:lang w:val="ro-RO"/>
        </w:rPr>
      </w:pPr>
      <w:r>
        <w:rPr>
          <w:rFonts w:ascii="Trebuchet MS" w:hAnsi="Trebuchet MS" w:cs="Trebuchet MS"/>
          <w:bCs/>
          <w:sz w:val="24"/>
          <w:szCs w:val="24"/>
          <w:lang w:val="ro-RO"/>
        </w:rPr>
        <w:t>Această formulare include atât entitățile autorizate, cât și pe cele care, potrivit legislației fiscale, au doar obligația de înregistrare, asigurând o delimitare corectă a sferei de aplicare.</w:t>
      </w:r>
    </w:p>
    <w:p w:rsidR="00965F02" w:rsidRDefault="00A82584">
      <w:pPr>
        <w:numPr>
          <w:ilvl w:val="0"/>
          <w:numId w:val="2"/>
        </w:numPr>
        <w:shd w:val="clear" w:color="auto" w:fill="FFFFFF" w:themeFill="background1"/>
        <w:tabs>
          <w:tab w:val="left" w:pos="0"/>
        </w:tabs>
        <w:rPr>
          <w:rFonts w:ascii="Trebuchet MS" w:hAnsi="Trebuchet MS" w:cs="Trebuchet MS"/>
          <w:b/>
          <w:sz w:val="24"/>
          <w:szCs w:val="24"/>
          <w:lang w:val="ro-RO"/>
        </w:rPr>
      </w:pPr>
      <w:r>
        <w:rPr>
          <w:rFonts w:ascii="Trebuchet MS" w:hAnsi="Trebuchet MS" w:cs="Trebuchet MS"/>
          <w:b/>
          <w:sz w:val="24"/>
          <w:szCs w:val="24"/>
        </w:rPr>
        <w:t>Referitor la</w:t>
      </w:r>
      <w:r>
        <w:rPr>
          <w:rFonts w:ascii="Trebuchet MS" w:hAnsi="Trebuchet MS" w:cs="Trebuchet MS"/>
          <w:b/>
          <w:sz w:val="24"/>
          <w:szCs w:val="24"/>
          <w:lang w:val="ro-RO"/>
        </w:rPr>
        <w:t xml:space="preserve"> art. 1, pct. </w:t>
      </w:r>
      <w:r>
        <w:rPr>
          <w:rFonts w:ascii="Trebuchet MS" w:hAnsi="Trebuchet MS" w:cs="Trebuchet MS"/>
          <w:b/>
          <w:sz w:val="24"/>
          <w:szCs w:val="24"/>
        </w:rPr>
        <w:t>7</w:t>
      </w:r>
      <w:r>
        <w:rPr>
          <w:rFonts w:ascii="Trebuchet MS" w:hAnsi="Trebuchet MS" w:cs="Trebuchet MS"/>
          <w:b/>
          <w:sz w:val="24"/>
          <w:szCs w:val="24"/>
          <w:lang w:val="ro-RO"/>
        </w:rPr>
        <w:t xml:space="preserve"> </w:t>
      </w:r>
      <w:r>
        <w:rPr>
          <w:rFonts w:ascii="Trebuchet MS" w:hAnsi="Trebuchet MS" w:cs="Trebuchet MS"/>
          <w:b/>
          <w:sz w:val="24"/>
          <w:szCs w:val="24"/>
        </w:rPr>
        <w:t>alin. (1)</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Avân</w:t>
      </w:r>
      <w:r>
        <w:rPr>
          <w:rFonts w:ascii="Trebuchet MS" w:hAnsi="Trebuchet MS" w:cs="Trebuchet MS"/>
          <w:sz w:val="24"/>
          <w:szCs w:val="24"/>
          <w:lang w:val="ro-RO"/>
        </w:rPr>
        <w:t>d în vedere faptul că procedura de executare a unei garanții financiare este distinctă de procedura de executare silită reglementată de Codul de procedură fiscală, iar în practică au existat situații în care contribuabilii au fost supuși executării garanți</w:t>
      </w:r>
      <w:r>
        <w:rPr>
          <w:rFonts w:ascii="Trebuchet MS" w:hAnsi="Trebuchet MS" w:cs="Trebuchet MS"/>
          <w:sz w:val="24"/>
          <w:szCs w:val="24"/>
          <w:lang w:val="ro-RO"/>
        </w:rPr>
        <w:t>ilor fără a fi încadrați formal în procedura de executare silită, considerăm necesară o clarificare expresă a textului normativ.</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 xml:space="preserve">Formularea actuală a art. </w:t>
      </w:r>
      <w:r>
        <w:rPr>
          <w:rFonts w:ascii="Trebuchet MS" w:hAnsi="Trebuchet MS" w:cs="Trebuchet MS"/>
          <w:sz w:val="24"/>
          <w:szCs w:val="24"/>
        </w:rPr>
        <w:t>1</w:t>
      </w:r>
      <w:r>
        <w:rPr>
          <w:rFonts w:ascii="Trebuchet MS" w:hAnsi="Trebuchet MS" w:cs="Trebuchet MS"/>
          <w:sz w:val="24"/>
          <w:szCs w:val="24"/>
          <w:lang w:val="ro-RO"/>
        </w:rPr>
        <w:t xml:space="preserve"> </w:t>
      </w:r>
      <w:r>
        <w:rPr>
          <w:rFonts w:ascii="Trebuchet MS" w:hAnsi="Trebuchet MS" w:cs="Trebuchet MS"/>
          <w:sz w:val="24"/>
          <w:szCs w:val="24"/>
        </w:rPr>
        <w:t xml:space="preserve">pct. 7 </w:t>
      </w:r>
      <w:r>
        <w:rPr>
          <w:rFonts w:ascii="Trebuchet MS" w:hAnsi="Trebuchet MS" w:cs="Trebuchet MS"/>
          <w:sz w:val="24"/>
          <w:szCs w:val="24"/>
          <w:lang w:val="ro-RO"/>
        </w:rPr>
        <w:t xml:space="preserve">alin. (1) ar putea conduce la interpretări restrictive, excluzând operatorii economici </w:t>
      </w:r>
      <w:r>
        <w:rPr>
          <w:rFonts w:ascii="Trebuchet MS" w:hAnsi="Trebuchet MS" w:cs="Trebuchet MS"/>
          <w:sz w:val="24"/>
          <w:szCs w:val="24"/>
          <w:lang w:val="ro-RO"/>
        </w:rPr>
        <w:t>pentru care s-a dispus executarea unei garanții, deși situația lor fiscală reflectă un risc real și iminent.</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 xml:space="preserve">În acest context, propunem modificarea art. </w:t>
      </w:r>
      <w:r>
        <w:rPr>
          <w:rFonts w:ascii="Trebuchet MS" w:hAnsi="Trebuchet MS" w:cs="Trebuchet MS"/>
          <w:sz w:val="24"/>
          <w:szCs w:val="24"/>
        </w:rPr>
        <w:t>1 pct. 7</w:t>
      </w:r>
      <w:r>
        <w:rPr>
          <w:rFonts w:ascii="Trebuchet MS" w:hAnsi="Trebuchet MS" w:cs="Trebuchet MS"/>
          <w:sz w:val="24"/>
          <w:szCs w:val="24"/>
          <w:lang w:val="ro-RO"/>
        </w:rPr>
        <w:t xml:space="preserve"> alin. (1) după cum urmează:</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 xml:space="preserve"> „</w:t>
      </w:r>
      <w:r>
        <w:rPr>
          <w:rFonts w:ascii="Trebuchet MS" w:hAnsi="Trebuchet MS" w:cs="Trebuchet MS"/>
          <w:sz w:val="24"/>
          <w:szCs w:val="24"/>
        </w:rPr>
        <w:t xml:space="preserve">a) </w:t>
      </w:r>
      <w:r>
        <w:rPr>
          <w:rFonts w:ascii="Trebuchet MS" w:hAnsi="Trebuchet MS" w:cs="Trebuchet MS"/>
          <w:sz w:val="24"/>
          <w:szCs w:val="24"/>
          <w:lang w:val="ro-RO"/>
        </w:rPr>
        <w:t>care în ultimii 5 ani au înregistrat obligații fiscale restan</w:t>
      </w:r>
      <w:r>
        <w:rPr>
          <w:rFonts w:ascii="Trebuchet MS" w:hAnsi="Trebuchet MS" w:cs="Trebuchet MS"/>
          <w:sz w:val="24"/>
          <w:szCs w:val="24"/>
          <w:lang w:val="ro-RO"/>
        </w:rPr>
        <w:t>te la bugetul general consolidat, de natura celor administrate de Agenția Națională de Administrare Fiscală, în sensul art. 157 din Legea nr. 207/2015 privind Codul de procedură fiscală, cu modificările și completările ulterioare, pentru care s-a dispus ex</w:t>
      </w:r>
      <w:r>
        <w:rPr>
          <w:rFonts w:ascii="Trebuchet MS" w:hAnsi="Trebuchet MS" w:cs="Trebuchet MS"/>
          <w:sz w:val="24"/>
          <w:szCs w:val="24"/>
          <w:lang w:val="ro-RO"/>
        </w:rPr>
        <w:t>ecutarea garanției.”</w:t>
      </w:r>
    </w:p>
    <w:p w:rsidR="00965F02" w:rsidRDefault="00A82584">
      <w:pPr>
        <w:shd w:val="clear" w:color="auto" w:fill="FFFFFF" w:themeFill="background1"/>
        <w:tabs>
          <w:tab w:val="left" w:pos="0"/>
        </w:tabs>
        <w:rPr>
          <w:rFonts w:ascii="Trebuchet MS" w:hAnsi="Trebuchet MS" w:cs="Trebuchet MS"/>
          <w:sz w:val="24"/>
          <w:szCs w:val="24"/>
          <w:highlight w:val="white"/>
          <w:lang w:val="ro-RO"/>
        </w:rPr>
      </w:pPr>
      <w:r>
        <w:rPr>
          <w:rFonts w:ascii="Trebuchet MS" w:hAnsi="Trebuchet MS" w:cs="Trebuchet MS"/>
          <w:sz w:val="24"/>
          <w:szCs w:val="24"/>
          <w:lang w:val="ro-RO"/>
        </w:rPr>
        <w:t>Această modificare permite includerea explicită a situațiilor în care executarea garanției constituie o formă de recuperare a creanțelor bugetare, asigurând o interpretare corectă și completă a prevederilor privind identificarea riscul</w:t>
      </w:r>
      <w:r>
        <w:rPr>
          <w:rFonts w:ascii="Trebuchet MS" w:hAnsi="Trebuchet MS" w:cs="Trebuchet MS"/>
          <w:sz w:val="24"/>
          <w:szCs w:val="24"/>
          <w:lang w:val="ro-RO"/>
        </w:rPr>
        <w:t>ui fiscal.</w:t>
      </w:r>
    </w:p>
    <w:p w:rsidR="00965F02" w:rsidRDefault="00A82584">
      <w:pPr>
        <w:numPr>
          <w:ilvl w:val="0"/>
          <w:numId w:val="2"/>
        </w:numPr>
        <w:shd w:val="clear" w:color="auto" w:fill="FFFFFF" w:themeFill="background1"/>
        <w:tabs>
          <w:tab w:val="left" w:pos="0"/>
        </w:tabs>
        <w:rPr>
          <w:rFonts w:ascii="Trebuchet MS" w:hAnsi="Trebuchet MS" w:cs="Trebuchet MS"/>
          <w:b/>
          <w:bCs/>
          <w:sz w:val="24"/>
          <w:szCs w:val="24"/>
          <w:lang w:val="ro-RO"/>
        </w:rPr>
      </w:pPr>
      <w:r>
        <w:rPr>
          <w:rFonts w:ascii="Trebuchet MS" w:hAnsi="Trebuchet MS" w:cs="Trebuchet MS"/>
          <w:b/>
          <w:bCs/>
          <w:sz w:val="24"/>
          <w:szCs w:val="24"/>
          <w:lang w:val="ro-RO"/>
        </w:rPr>
        <w:t xml:space="preserve"> </w:t>
      </w:r>
      <w:r>
        <w:rPr>
          <w:rFonts w:ascii="Trebuchet MS" w:hAnsi="Trebuchet MS" w:cs="Trebuchet MS"/>
          <w:b/>
          <w:bCs/>
          <w:sz w:val="24"/>
          <w:szCs w:val="24"/>
        </w:rPr>
        <w:t>Referitor la</w:t>
      </w:r>
      <w:r>
        <w:rPr>
          <w:rFonts w:ascii="Trebuchet MS" w:hAnsi="Trebuchet MS" w:cs="Trebuchet MS"/>
          <w:b/>
          <w:bCs/>
          <w:sz w:val="24"/>
          <w:szCs w:val="24"/>
          <w:lang w:val="ro-RO"/>
        </w:rPr>
        <w:t xml:space="preserve"> art. 1, pct. </w:t>
      </w:r>
      <w:r>
        <w:rPr>
          <w:rFonts w:ascii="Trebuchet MS" w:hAnsi="Trebuchet MS" w:cs="Trebuchet MS"/>
          <w:b/>
          <w:bCs/>
          <w:sz w:val="24"/>
          <w:szCs w:val="24"/>
        </w:rPr>
        <w:t>7</w:t>
      </w:r>
      <w:r>
        <w:rPr>
          <w:rFonts w:ascii="Trebuchet MS" w:hAnsi="Trebuchet MS" w:cs="Trebuchet MS"/>
          <w:b/>
          <w:bCs/>
          <w:sz w:val="24"/>
          <w:szCs w:val="24"/>
          <w:lang w:val="ro-RO"/>
        </w:rPr>
        <w:t xml:space="preserve"> </w:t>
      </w:r>
      <w:r>
        <w:rPr>
          <w:rFonts w:ascii="Trebuchet MS" w:hAnsi="Trebuchet MS" w:cs="Trebuchet MS"/>
          <w:b/>
          <w:bCs/>
          <w:sz w:val="24"/>
          <w:szCs w:val="24"/>
        </w:rPr>
        <w:t>alin. (2)</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Având în vedere aplicarea practică a criteriilor prevăzute de Ordinul comun ANAF – AVR nr. 417/1204/2025 privind identificarea operatorilor economici cu risc fiscal ridicat, s-a constatat că în numeroase ca</w:t>
      </w:r>
      <w:r>
        <w:rPr>
          <w:rFonts w:ascii="Trebuchet MS" w:hAnsi="Trebuchet MS" w:cs="Trebuchet MS"/>
          <w:sz w:val="24"/>
          <w:szCs w:val="24"/>
          <w:lang w:val="ro-RO"/>
        </w:rPr>
        <w:t xml:space="preserve">zuri singurul criteriu aplicabil contribuabililor a fost cel prevăzut la art. </w:t>
      </w:r>
      <w:r>
        <w:rPr>
          <w:rFonts w:ascii="Trebuchet MS" w:hAnsi="Trebuchet MS" w:cs="Trebuchet MS"/>
          <w:sz w:val="24"/>
          <w:szCs w:val="24"/>
        </w:rPr>
        <w:t>1 pct. 7</w:t>
      </w:r>
      <w:r>
        <w:rPr>
          <w:rFonts w:ascii="Trebuchet MS" w:hAnsi="Trebuchet MS" w:cs="Trebuchet MS"/>
          <w:sz w:val="24"/>
          <w:szCs w:val="24"/>
          <w:lang w:val="ro-RO"/>
        </w:rPr>
        <w:t xml:space="preserve"> alin. (2), respectiv depunerea cu întârziere a declarațiilor fiscale.</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Analiza a relevat faptul că aceste întârzieri au fost minore (între 2 și 5 zile) și cauzate frecven</w:t>
      </w:r>
      <w:r>
        <w:rPr>
          <w:rFonts w:ascii="Trebuchet MS" w:hAnsi="Trebuchet MS" w:cs="Trebuchet MS"/>
          <w:sz w:val="24"/>
          <w:szCs w:val="24"/>
          <w:lang w:val="ro-RO"/>
        </w:rPr>
        <w:t>t de factori obiectivi sau situații neintenționate – printre care și nefuncționarea temporară a sistemului informatic al ANAF. În aceste condiții, considerăm că aplicarea strictă a criteriului în forma actuală poate conduce la clasificări nejustificate ale</w:t>
      </w:r>
      <w:r>
        <w:rPr>
          <w:rFonts w:ascii="Trebuchet MS" w:hAnsi="Trebuchet MS" w:cs="Trebuchet MS"/>
          <w:sz w:val="24"/>
          <w:szCs w:val="24"/>
          <w:lang w:val="ro-RO"/>
        </w:rPr>
        <w:t xml:space="preserve"> unor contribuabili cu comportament fiscal general corect.</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 xml:space="preserve">În scopul introducerii unui grad rezonabil de flexibilitate și pentru a reflecta mai fidel riscurile reale, propunem modificarea art. </w:t>
      </w:r>
      <w:r>
        <w:rPr>
          <w:rFonts w:ascii="Trebuchet MS" w:hAnsi="Trebuchet MS" w:cs="Trebuchet MS"/>
          <w:sz w:val="24"/>
          <w:szCs w:val="24"/>
        </w:rPr>
        <w:t>1 pct. 7</w:t>
      </w:r>
      <w:r>
        <w:rPr>
          <w:rFonts w:ascii="Trebuchet MS" w:hAnsi="Trebuchet MS" w:cs="Trebuchet MS"/>
          <w:sz w:val="24"/>
          <w:szCs w:val="24"/>
          <w:lang w:val="ro-RO"/>
        </w:rPr>
        <w:t xml:space="preserve"> alin. (2), după cum urmează:</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lastRenderedPageBreak/>
        <w:t>Propunere de modificare:</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 xml:space="preserve"> „</w:t>
      </w:r>
      <w:r>
        <w:rPr>
          <w:rFonts w:ascii="Trebuchet MS" w:hAnsi="Trebuchet MS" w:cs="Trebuchet MS"/>
          <w:sz w:val="24"/>
          <w:szCs w:val="24"/>
        </w:rPr>
        <w:t xml:space="preserve">b) </w:t>
      </w:r>
      <w:r>
        <w:rPr>
          <w:rFonts w:ascii="Trebuchet MS" w:hAnsi="Trebuchet MS" w:cs="Trebuchet MS"/>
          <w:sz w:val="24"/>
          <w:szCs w:val="24"/>
          <w:lang w:val="ro-RO"/>
        </w:rPr>
        <w:t>care în ultimele 12 luni au depus declarațiile fiscale cu o întârziere mai mare de 5 zile de la termenul legal.”</w:t>
      </w:r>
    </w:p>
    <w:p w:rsidR="00965F02" w:rsidRDefault="00A82584">
      <w:pPr>
        <w:shd w:val="clear" w:color="auto" w:fill="FFFFFF" w:themeFill="background1"/>
        <w:tabs>
          <w:tab w:val="left" w:pos="0"/>
        </w:tabs>
        <w:rPr>
          <w:rFonts w:ascii="Trebuchet MS" w:hAnsi="Trebuchet MS" w:cs="Trebuchet MS"/>
          <w:sz w:val="24"/>
          <w:szCs w:val="24"/>
          <w:highlight w:val="white"/>
          <w:lang w:val="ro-RO"/>
        </w:rPr>
      </w:pPr>
      <w:r>
        <w:rPr>
          <w:rFonts w:ascii="Trebuchet MS" w:hAnsi="Trebuchet MS" w:cs="Trebuchet MS"/>
          <w:sz w:val="24"/>
          <w:szCs w:val="24"/>
          <w:lang w:val="ro-RO"/>
        </w:rPr>
        <w:t>Această reformulare menține obiectivul de identificare a comportamentelor neconforme, dar permite o diferențiere necesară între întârzieri</w:t>
      </w:r>
      <w:r>
        <w:rPr>
          <w:rFonts w:ascii="Trebuchet MS" w:hAnsi="Trebuchet MS" w:cs="Trebuchet MS"/>
          <w:sz w:val="24"/>
          <w:szCs w:val="24"/>
          <w:lang w:val="ro-RO"/>
        </w:rPr>
        <w:t xml:space="preserve"> administrative minore și cele care indică un risc fiscal semnificativ.</w:t>
      </w:r>
    </w:p>
    <w:p w:rsidR="00965F02" w:rsidRDefault="00A82584">
      <w:pPr>
        <w:numPr>
          <w:ilvl w:val="0"/>
          <w:numId w:val="2"/>
        </w:numPr>
        <w:shd w:val="clear" w:color="auto" w:fill="FFFFFF" w:themeFill="background1"/>
        <w:tabs>
          <w:tab w:val="left" w:pos="0"/>
        </w:tabs>
        <w:rPr>
          <w:rFonts w:ascii="Trebuchet MS" w:hAnsi="Trebuchet MS" w:cs="Trebuchet MS"/>
          <w:b/>
          <w:sz w:val="24"/>
          <w:szCs w:val="24"/>
          <w:lang w:val="ro-RO"/>
        </w:rPr>
      </w:pPr>
      <w:r>
        <w:rPr>
          <w:rFonts w:ascii="Trebuchet MS" w:hAnsi="Trebuchet MS" w:cs="Trebuchet MS"/>
          <w:b/>
          <w:sz w:val="24"/>
          <w:szCs w:val="24"/>
          <w:lang w:val="ro-RO"/>
        </w:rPr>
        <w:t xml:space="preserve"> </w:t>
      </w:r>
      <w:r>
        <w:rPr>
          <w:rFonts w:ascii="Trebuchet MS" w:hAnsi="Trebuchet MS" w:cs="Trebuchet MS"/>
          <w:b/>
          <w:sz w:val="24"/>
          <w:szCs w:val="24"/>
        </w:rPr>
        <w:t>Referitor la</w:t>
      </w:r>
      <w:r>
        <w:rPr>
          <w:rFonts w:ascii="Trebuchet MS" w:hAnsi="Trebuchet MS" w:cs="Trebuchet MS"/>
          <w:b/>
          <w:sz w:val="24"/>
          <w:szCs w:val="24"/>
          <w:lang w:val="ro-RO"/>
        </w:rPr>
        <w:t xml:space="preserve"> art. 1, pct. </w:t>
      </w:r>
      <w:r>
        <w:rPr>
          <w:rFonts w:ascii="Trebuchet MS" w:hAnsi="Trebuchet MS" w:cs="Trebuchet MS"/>
          <w:b/>
          <w:sz w:val="24"/>
          <w:szCs w:val="24"/>
        </w:rPr>
        <w:t>7</w:t>
      </w:r>
      <w:r>
        <w:rPr>
          <w:rFonts w:ascii="Trebuchet MS" w:hAnsi="Trebuchet MS" w:cs="Trebuchet MS"/>
          <w:b/>
          <w:sz w:val="24"/>
          <w:szCs w:val="24"/>
          <w:lang w:val="ro-RO"/>
        </w:rPr>
        <w:t xml:space="preserve"> </w:t>
      </w:r>
      <w:r>
        <w:rPr>
          <w:rFonts w:ascii="Trebuchet MS" w:hAnsi="Trebuchet MS" w:cs="Trebuchet MS"/>
          <w:b/>
          <w:sz w:val="24"/>
          <w:szCs w:val="24"/>
        </w:rPr>
        <w:t>alin. (3)</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rPr>
        <w:t>A</w:t>
      </w:r>
      <w:r>
        <w:rPr>
          <w:rFonts w:ascii="Trebuchet MS" w:hAnsi="Trebuchet MS" w:cs="Trebuchet MS"/>
          <w:bCs/>
          <w:sz w:val="24"/>
          <w:szCs w:val="24"/>
          <w:lang w:val="ro-RO"/>
        </w:rPr>
        <w:t>vând în vedere p</w:t>
      </w:r>
      <w:r>
        <w:rPr>
          <w:rFonts w:ascii="Trebuchet MS" w:hAnsi="Trebuchet MS" w:cs="Trebuchet MS"/>
          <w:bCs/>
          <w:sz w:val="24"/>
          <w:szCs w:val="24"/>
        </w:rPr>
        <w:t>revederile</w:t>
      </w:r>
      <w:r>
        <w:rPr>
          <w:rFonts w:ascii="Trebuchet MS" w:hAnsi="Trebuchet MS" w:cs="Trebuchet MS"/>
          <w:bCs/>
          <w:sz w:val="24"/>
          <w:szCs w:val="24"/>
          <w:lang w:val="ro-RO"/>
        </w:rPr>
        <w:t xml:space="preserve"> Ordinului comun ANAF – AVR nr. 417/1204/2025 privind stabilirea criteriilor de identificare a operatorilor economici cu risc fiscal ridicat, precum și necesitatea de a asigura o interpretare clară, uniformă și predictibilă a acestora în practică, propunem</w:t>
      </w:r>
      <w:r>
        <w:rPr>
          <w:rFonts w:ascii="Trebuchet MS" w:hAnsi="Trebuchet MS" w:cs="Trebuchet MS"/>
          <w:bCs/>
          <w:sz w:val="24"/>
          <w:szCs w:val="24"/>
          <w:lang w:val="ro-RO"/>
        </w:rPr>
        <w:t xml:space="preserve"> revizuirea și completarea dispozițiilor art. 1, </w:t>
      </w:r>
      <w:r>
        <w:rPr>
          <w:rFonts w:ascii="Trebuchet MS" w:hAnsi="Trebuchet MS" w:cs="Trebuchet MS"/>
          <w:bCs/>
          <w:sz w:val="24"/>
          <w:szCs w:val="24"/>
        </w:rPr>
        <w:t>pct.</w:t>
      </w:r>
      <w:r>
        <w:rPr>
          <w:rFonts w:ascii="Trebuchet MS" w:hAnsi="Trebuchet MS" w:cs="Trebuchet MS"/>
          <w:bCs/>
          <w:sz w:val="24"/>
          <w:szCs w:val="24"/>
          <w:lang w:val="ro-RO"/>
        </w:rPr>
        <w:t xml:space="preserve"> 7 alin. (3), în forma de mai jos.</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În forma sa actuală, textul art. 1, p</w:t>
      </w:r>
      <w:r>
        <w:rPr>
          <w:rFonts w:ascii="Trebuchet MS" w:hAnsi="Trebuchet MS" w:cs="Trebuchet MS"/>
          <w:bCs/>
          <w:sz w:val="24"/>
          <w:szCs w:val="24"/>
        </w:rPr>
        <w:t>ct.</w:t>
      </w:r>
      <w:r>
        <w:rPr>
          <w:rFonts w:ascii="Trebuchet MS" w:hAnsi="Trebuchet MS" w:cs="Trebuchet MS"/>
          <w:bCs/>
          <w:sz w:val="24"/>
          <w:szCs w:val="24"/>
          <w:lang w:val="ro-RO"/>
        </w:rPr>
        <w:t xml:space="preserve"> 7 alin. (3) nu reflectă în mod explicit toate situațiile de neconformare relevante în contextul eşalonărilor şi/sau restructură</w:t>
      </w:r>
      <w:r>
        <w:rPr>
          <w:rFonts w:ascii="Trebuchet MS" w:hAnsi="Trebuchet MS" w:cs="Trebuchet MS"/>
          <w:bCs/>
          <w:sz w:val="24"/>
          <w:szCs w:val="24"/>
          <w:lang w:val="ro-RO"/>
        </w:rPr>
        <w:t>rilor la plată. Astfel, pentru a evita interpretările neunitare și pentru a permite încadrarea corectă a contribuabililor care nu respectă în mod real condițiile de conformare fiscală, se impune o reformulare mai clară și mai detaliată.</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Propunere de modifi</w:t>
      </w:r>
      <w:r>
        <w:rPr>
          <w:rFonts w:ascii="Trebuchet MS" w:hAnsi="Trebuchet MS" w:cs="Trebuchet MS"/>
          <w:bCs/>
          <w:sz w:val="24"/>
          <w:szCs w:val="24"/>
          <w:lang w:val="ro-RO"/>
        </w:rPr>
        <w:t>care:</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w:t>
      </w:r>
      <w:r>
        <w:rPr>
          <w:rFonts w:ascii="Trebuchet MS" w:hAnsi="Trebuchet MS" w:cs="Trebuchet MS"/>
          <w:bCs/>
          <w:sz w:val="24"/>
          <w:szCs w:val="24"/>
        </w:rPr>
        <w:t xml:space="preserve">c) </w:t>
      </w:r>
      <w:r>
        <w:rPr>
          <w:rFonts w:ascii="Trebuchet MS" w:hAnsi="Trebuchet MS" w:cs="Trebuchet MS"/>
          <w:bCs/>
          <w:sz w:val="24"/>
          <w:szCs w:val="24"/>
          <w:lang w:val="ro-RO"/>
        </w:rPr>
        <w:t xml:space="preserve">care în ultimii 5 ani au beneficiat de eşalonări şi/sau restructurări la plată și care se încadrează în una dintre următoarele situații:  </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xml:space="preserve">i) nu au respectat termenele stabilite prin graficul de eşalonare/graficul de plată, chiar dacă acestea au </w:t>
      </w:r>
      <w:r>
        <w:rPr>
          <w:rFonts w:ascii="Trebuchet MS" w:hAnsi="Trebuchet MS" w:cs="Trebuchet MS"/>
          <w:bCs/>
          <w:sz w:val="24"/>
          <w:szCs w:val="24"/>
          <w:lang w:val="ro-RO"/>
        </w:rPr>
        <w:t xml:space="preserve">fost stinse în termenul suplimentar prevăzut de lege;  </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ii) nu au achitat obligațiile fiscale declarate după data acordării eşalonării şi/sau restructurării, în termenul prevăzut de lege, chiar dacă acestea au fost stinse în termenul suplimentar reglementa</w:t>
      </w:r>
      <w:r>
        <w:rPr>
          <w:rFonts w:ascii="Trebuchet MS" w:hAnsi="Trebuchet MS" w:cs="Trebuchet MS"/>
          <w:bCs/>
          <w:sz w:val="24"/>
          <w:szCs w:val="24"/>
          <w:lang w:val="ro-RO"/>
        </w:rPr>
        <w:t xml:space="preserve">t prevăzut de lege;  </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xml:space="preserve">iii) care înregistrează obligații fiscale/bugetare altele decât cele prevăzute la lit. i) și ii) și care reprezintă condiție de menținere a valabilității eşalonării şi/sau restructurării la plată;  </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iv) au pierdut valabilitatea eşalon</w:t>
      </w:r>
      <w:r>
        <w:rPr>
          <w:rFonts w:ascii="Trebuchet MS" w:hAnsi="Trebuchet MS" w:cs="Trebuchet MS"/>
          <w:bCs/>
          <w:sz w:val="24"/>
          <w:szCs w:val="24"/>
          <w:lang w:val="ro-RO"/>
        </w:rPr>
        <w:t>ării şi/sau restructurării la plată, iar ulterior au solicitat menținerea valabilității acesteia, potrivit legii.”</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Această modificare contribuie la o aplicare clară și echitabilă a criteriilor de risc fiscal, reflectând mai fidel comportamentul fiscal efec</w:t>
      </w:r>
      <w:r>
        <w:rPr>
          <w:rFonts w:ascii="Trebuchet MS" w:hAnsi="Trebuchet MS" w:cs="Trebuchet MS"/>
          <w:bCs/>
          <w:sz w:val="24"/>
          <w:szCs w:val="24"/>
          <w:lang w:val="ro-RO"/>
        </w:rPr>
        <w:t>tiv al contribuabililor și evitând interpretările contradictorii care pot afecta uniformitatea administrativă.</w:t>
      </w:r>
    </w:p>
    <w:p w:rsidR="00965F02" w:rsidRDefault="00A82584">
      <w:pPr>
        <w:numPr>
          <w:ilvl w:val="0"/>
          <w:numId w:val="2"/>
        </w:numPr>
        <w:shd w:val="clear" w:color="auto" w:fill="FFFFFF" w:themeFill="background1"/>
        <w:tabs>
          <w:tab w:val="left" w:pos="0"/>
        </w:tabs>
        <w:rPr>
          <w:rFonts w:ascii="Trebuchet MS" w:hAnsi="Trebuchet MS" w:cs="Trebuchet MS"/>
          <w:b/>
          <w:sz w:val="24"/>
          <w:szCs w:val="24"/>
          <w:lang w:val="ro-RO"/>
        </w:rPr>
      </w:pPr>
      <w:r>
        <w:rPr>
          <w:rFonts w:ascii="Trebuchet MS" w:hAnsi="Trebuchet MS" w:cs="Trebuchet MS"/>
          <w:b/>
          <w:sz w:val="24"/>
          <w:szCs w:val="24"/>
        </w:rPr>
        <w:t>Referitor la</w:t>
      </w:r>
      <w:r>
        <w:rPr>
          <w:rFonts w:ascii="Trebuchet MS" w:hAnsi="Trebuchet MS" w:cs="Trebuchet MS"/>
          <w:b/>
          <w:sz w:val="24"/>
          <w:szCs w:val="24"/>
          <w:lang w:val="ro-RO"/>
        </w:rPr>
        <w:t xml:space="preserve"> art. 1, pct. </w:t>
      </w:r>
      <w:r>
        <w:rPr>
          <w:rFonts w:ascii="Trebuchet MS" w:hAnsi="Trebuchet MS" w:cs="Trebuchet MS"/>
          <w:b/>
          <w:sz w:val="24"/>
          <w:szCs w:val="24"/>
        </w:rPr>
        <w:t>7</w:t>
      </w:r>
      <w:r>
        <w:rPr>
          <w:rFonts w:ascii="Trebuchet MS" w:hAnsi="Trebuchet MS" w:cs="Trebuchet MS"/>
          <w:b/>
          <w:sz w:val="24"/>
          <w:szCs w:val="24"/>
          <w:lang w:val="ro-RO"/>
        </w:rPr>
        <w:t xml:space="preserve"> </w:t>
      </w:r>
      <w:r>
        <w:rPr>
          <w:rFonts w:ascii="Trebuchet MS" w:hAnsi="Trebuchet MS" w:cs="Trebuchet MS"/>
          <w:b/>
          <w:sz w:val="24"/>
          <w:szCs w:val="24"/>
        </w:rPr>
        <w:t>alin. (4)</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xml:space="preserve">Având în vedere </w:t>
      </w:r>
      <w:r>
        <w:rPr>
          <w:rFonts w:ascii="Trebuchet MS" w:hAnsi="Trebuchet MS" w:cs="Trebuchet MS"/>
          <w:bCs/>
          <w:sz w:val="24"/>
          <w:szCs w:val="24"/>
        </w:rPr>
        <w:t>prevederile</w:t>
      </w:r>
      <w:r>
        <w:rPr>
          <w:rFonts w:ascii="Trebuchet MS" w:hAnsi="Trebuchet MS" w:cs="Trebuchet MS"/>
          <w:bCs/>
          <w:sz w:val="24"/>
          <w:szCs w:val="24"/>
          <w:lang w:val="ro-RO"/>
        </w:rPr>
        <w:t xml:space="preserve"> Ordinului comun ANAF și Autoritatea Vamală Română nr. 417/1204/2025, se propune</w:t>
      </w:r>
      <w:r>
        <w:rPr>
          <w:rFonts w:ascii="Trebuchet MS" w:hAnsi="Trebuchet MS" w:cs="Trebuchet MS"/>
          <w:bCs/>
          <w:sz w:val="24"/>
          <w:szCs w:val="24"/>
          <w:lang w:val="ro-RO"/>
        </w:rPr>
        <w:t xml:space="preserve"> modificarea art. 1 pct. 7 alin. (4) pentru a reflecta mai precis riscul fiscal asociat cu istoricul asociaților și/sau administratorilor operatorilor economici în domeniul produselor accizabile.</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Analiza efectuată asupra unui eșantion de 67 de operatori ec</w:t>
      </w:r>
      <w:r>
        <w:rPr>
          <w:rFonts w:ascii="Trebuchet MS" w:hAnsi="Trebuchet MS" w:cs="Trebuchet MS"/>
          <w:bCs/>
          <w:sz w:val="24"/>
          <w:szCs w:val="24"/>
          <w:lang w:val="ro-RO"/>
        </w:rPr>
        <w:t xml:space="preserve">onomici mari contribuabili a evidențiat că 59 dintre aceștia se încadrează în criteriul prevăzut la art. 1 pct. 7 alin. </w:t>
      </w:r>
      <w:r>
        <w:rPr>
          <w:rFonts w:ascii="Trebuchet MS" w:hAnsi="Trebuchet MS" w:cs="Trebuchet MS"/>
          <w:bCs/>
          <w:sz w:val="24"/>
          <w:szCs w:val="24"/>
          <w:lang w:val="ro-RO"/>
        </w:rPr>
        <w:lastRenderedPageBreak/>
        <w:t>(4), deși nu prezintă alte riscuri fiscale conform punctelor 1–6. Această situație indică o aplicare excesivă a criteriului actual, care</w:t>
      </w:r>
      <w:r>
        <w:rPr>
          <w:rFonts w:ascii="Trebuchet MS" w:hAnsi="Trebuchet MS" w:cs="Trebuchet MS"/>
          <w:bCs/>
          <w:sz w:val="24"/>
          <w:szCs w:val="24"/>
          <w:lang w:val="ro-RO"/>
        </w:rPr>
        <w:t xml:space="preserve"> nu face distincție între societățile autorizate și cele neautorizate în domeniul produselor accizabile.</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Propunere de modificare</w:t>
      </w:r>
      <w:r>
        <w:rPr>
          <w:rFonts w:ascii="Trebuchet MS" w:hAnsi="Trebuchet MS" w:cs="Trebuchet MS"/>
          <w:bCs/>
          <w:sz w:val="24"/>
          <w:szCs w:val="24"/>
        </w:rPr>
        <w:t>, l</w:t>
      </w:r>
      <w:r>
        <w:rPr>
          <w:rFonts w:ascii="Trebuchet MS" w:hAnsi="Trebuchet MS" w:cs="Trebuchet MS"/>
          <w:bCs/>
          <w:sz w:val="24"/>
          <w:szCs w:val="24"/>
          <w:lang w:val="ro-RO"/>
        </w:rPr>
        <w:t>a art</w:t>
      </w:r>
      <w:r>
        <w:rPr>
          <w:rFonts w:ascii="Trebuchet MS" w:hAnsi="Trebuchet MS" w:cs="Trebuchet MS"/>
          <w:bCs/>
          <w:sz w:val="24"/>
          <w:szCs w:val="24"/>
        </w:rPr>
        <w:t>.</w:t>
      </w:r>
      <w:r>
        <w:rPr>
          <w:rFonts w:ascii="Trebuchet MS" w:hAnsi="Trebuchet MS" w:cs="Trebuchet MS"/>
          <w:bCs/>
          <w:sz w:val="24"/>
          <w:szCs w:val="24"/>
          <w:lang w:val="ro-RO"/>
        </w:rPr>
        <w:t xml:space="preserve"> 1, p</w:t>
      </w:r>
      <w:r>
        <w:rPr>
          <w:rFonts w:ascii="Trebuchet MS" w:hAnsi="Trebuchet MS" w:cs="Trebuchet MS"/>
          <w:bCs/>
          <w:sz w:val="24"/>
          <w:szCs w:val="24"/>
        </w:rPr>
        <w:t>ct</w:t>
      </w:r>
      <w:r>
        <w:rPr>
          <w:rFonts w:ascii="Trebuchet MS" w:hAnsi="Trebuchet MS" w:cs="Trebuchet MS"/>
          <w:bCs/>
          <w:sz w:val="24"/>
          <w:szCs w:val="24"/>
          <w:lang w:val="ro-RO"/>
        </w:rPr>
        <w:t xml:space="preserve"> 7, alin</w:t>
      </w:r>
      <w:r>
        <w:rPr>
          <w:rFonts w:ascii="Trebuchet MS" w:hAnsi="Trebuchet MS" w:cs="Trebuchet MS"/>
          <w:bCs/>
          <w:sz w:val="24"/>
          <w:szCs w:val="24"/>
        </w:rPr>
        <w:t>.</w:t>
      </w:r>
      <w:r>
        <w:rPr>
          <w:rFonts w:ascii="Trebuchet MS" w:hAnsi="Trebuchet MS" w:cs="Trebuchet MS"/>
          <w:bCs/>
          <w:sz w:val="24"/>
          <w:szCs w:val="24"/>
          <w:lang w:val="ro-RO"/>
        </w:rPr>
        <w:t xml:space="preserve"> (4) se modifică și va avea următorul cuprins:</w:t>
      </w:r>
    </w:p>
    <w:p w:rsidR="00965F02" w:rsidRDefault="00A82584">
      <w:pPr>
        <w:shd w:val="clear" w:color="auto" w:fill="FFFFFF" w:themeFill="background1"/>
        <w:tabs>
          <w:tab w:val="left" w:pos="0"/>
        </w:tabs>
        <w:rPr>
          <w:rFonts w:ascii="Trebuchet MS" w:hAnsi="Trebuchet MS" w:cs="Trebuchet MS"/>
          <w:bCs/>
          <w:sz w:val="24"/>
          <w:szCs w:val="24"/>
        </w:rPr>
      </w:pPr>
      <w:r>
        <w:rPr>
          <w:rFonts w:ascii="Trebuchet MS" w:hAnsi="Trebuchet MS" w:cs="Trebuchet MS"/>
          <w:bCs/>
          <w:sz w:val="24"/>
          <w:szCs w:val="24"/>
          <w:lang w:val="ro-RO"/>
        </w:rPr>
        <w:t>„</w:t>
      </w:r>
      <w:r>
        <w:rPr>
          <w:rFonts w:ascii="Trebuchet MS" w:hAnsi="Trebuchet MS" w:cs="Trebuchet MS"/>
          <w:bCs/>
          <w:sz w:val="24"/>
          <w:szCs w:val="24"/>
        </w:rPr>
        <w:t>d)</w:t>
      </w:r>
      <w:r>
        <w:rPr>
          <w:rFonts w:ascii="Trebuchet MS" w:hAnsi="Trebuchet MS" w:cs="Trebuchet MS"/>
          <w:bCs/>
          <w:sz w:val="24"/>
          <w:szCs w:val="24"/>
          <w:lang w:val="ro-RO"/>
        </w:rPr>
        <w:t xml:space="preserve"> care au asociați majoritari și/sau administratori care în ultimii 10 ani au mai fost asociați sau administratori în societăți care au fost autorizate și/sau înregistrate în domeniul comercializării produselor accizabile ale căror autorizații/atestate, au </w:t>
      </w:r>
      <w:r>
        <w:rPr>
          <w:rFonts w:ascii="Trebuchet MS" w:hAnsi="Trebuchet MS" w:cs="Trebuchet MS"/>
          <w:bCs/>
          <w:sz w:val="24"/>
          <w:szCs w:val="24"/>
          <w:lang w:val="ro-RO"/>
        </w:rPr>
        <w:t>fost revocate și care se încadrează într-una dintre următoarele situații</w:t>
      </w:r>
      <w:r>
        <w:rPr>
          <w:rFonts w:ascii="Trebuchet MS" w:hAnsi="Trebuchet MS" w:cs="Trebuchet MS"/>
          <w:bCs/>
          <w:sz w:val="24"/>
          <w:szCs w:val="24"/>
        </w:rPr>
        <w:t>:</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i) la data radierii sau cesionării părților sociale/acțiunilor, societățile respective înregistrau obligații fiscale restante la bugetul general consolidat, de natura celor administr</w:t>
      </w:r>
      <w:r>
        <w:rPr>
          <w:rFonts w:ascii="Trebuchet MS" w:hAnsi="Trebuchet MS" w:cs="Trebuchet MS"/>
          <w:bCs/>
          <w:sz w:val="24"/>
          <w:szCs w:val="24"/>
          <w:lang w:val="ro-RO"/>
        </w:rPr>
        <w:t>ate de Agenția Națională de Administrare Fiscală;</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ii) a fost deschisă procedura insolvenței, respectiv perioada de observație, reorganizare judiciară sau faliment.”</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Această modificare are ca scop:</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Concentrarea evaluării riscului fiscal asupra comportamen</w:t>
      </w:r>
      <w:r>
        <w:rPr>
          <w:rFonts w:ascii="Trebuchet MS" w:hAnsi="Trebuchet MS" w:cs="Trebuchet MS"/>
          <w:bCs/>
          <w:sz w:val="24"/>
          <w:szCs w:val="24"/>
          <w:lang w:val="ro-RO"/>
        </w:rPr>
        <w:t>tului fiscal anterior al asociaților și/sau administratorilor în cadrul societăților autorizate și/sau înregistrate în domeniul produselor accizabile;</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Stabilirea unei perioade de referință de 10 ani, corespunzătoare termenului general de prescripție a fa</w:t>
      </w:r>
      <w:r>
        <w:rPr>
          <w:rFonts w:ascii="Trebuchet MS" w:hAnsi="Trebuchet MS" w:cs="Trebuchet MS"/>
          <w:bCs/>
          <w:sz w:val="24"/>
          <w:szCs w:val="24"/>
          <w:lang w:val="ro-RO"/>
        </w:rPr>
        <w:t>ptelor penale, pentru a asigura relevanța informațiilor analizate;</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 Evitarea penalizării nejustificate a operatorilor economici actuali pentru situații fiscale din trecut care nu mai reflectă comportamentul fiscal curent.</w:t>
      </w:r>
    </w:p>
    <w:p w:rsidR="00965F02" w:rsidRDefault="00A82584">
      <w:pPr>
        <w:shd w:val="clear" w:color="auto" w:fill="FFFFFF" w:themeFill="background1"/>
        <w:tabs>
          <w:tab w:val="left" w:pos="0"/>
        </w:tabs>
        <w:rPr>
          <w:rFonts w:ascii="Trebuchet MS" w:hAnsi="Trebuchet MS" w:cs="Trebuchet MS"/>
          <w:bCs/>
          <w:sz w:val="24"/>
          <w:szCs w:val="24"/>
          <w:lang w:val="ro-RO"/>
        </w:rPr>
      </w:pPr>
      <w:r>
        <w:rPr>
          <w:rFonts w:ascii="Trebuchet MS" w:hAnsi="Trebuchet MS" w:cs="Trebuchet MS"/>
          <w:bCs/>
          <w:sz w:val="24"/>
          <w:szCs w:val="24"/>
          <w:lang w:val="ro-RO"/>
        </w:rPr>
        <w:t>Această modificare are ca scop as</w:t>
      </w:r>
      <w:r>
        <w:rPr>
          <w:rFonts w:ascii="Trebuchet MS" w:hAnsi="Trebuchet MS" w:cs="Trebuchet MS"/>
          <w:bCs/>
          <w:sz w:val="24"/>
          <w:szCs w:val="24"/>
          <w:lang w:val="ro-RO"/>
        </w:rPr>
        <w:t>igurarea unei evaluări mai precise și echitabile a riscului fiscal, concentrându-se pe comportamentele relevante din punct de vedere fiscal și evitând penalizarea nejustificată a operatorilor economici care nu prezintă riscuri semnificative.</w:t>
      </w:r>
    </w:p>
    <w:p w:rsidR="00965F02" w:rsidRDefault="00A82584">
      <w:pPr>
        <w:numPr>
          <w:ilvl w:val="0"/>
          <w:numId w:val="2"/>
        </w:numPr>
        <w:shd w:val="clear" w:color="auto" w:fill="FFFFFF" w:themeFill="background1"/>
        <w:tabs>
          <w:tab w:val="left" w:pos="0"/>
        </w:tabs>
        <w:rPr>
          <w:rFonts w:ascii="Trebuchet MS" w:eastAsia="Times New Roman" w:hAnsi="Trebuchet MS" w:cs="Trebuchet MS"/>
          <w:sz w:val="24"/>
          <w:szCs w:val="24"/>
          <w:lang w:val="ro-RO"/>
        </w:rPr>
      </w:pPr>
      <w:r>
        <w:rPr>
          <w:rFonts w:ascii="Trebuchet MS" w:eastAsia="Times New Roman" w:hAnsi="Trebuchet MS" w:cs="Trebuchet MS"/>
          <w:b/>
          <w:bCs/>
          <w:sz w:val="24"/>
          <w:szCs w:val="24"/>
          <w:lang w:val="ro-RO"/>
        </w:rPr>
        <w:t>În urma consta</w:t>
      </w:r>
      <w:r>
        <w:rPr>
          <w:rFonts w:ascii="Trebuchet MS" w:eastAsia="Times New Roman" w:hAnsi="Trebuchet MS" w:cs="Trebuchet MS"/>
          <w:b/>
          <w:bCs/>
          <w:sz w:val="24"/>
          <w:szCs w:val="24"/>
          <w:lang w:val="ro-RO"/>
        </w:rPr>
        <w:t xml:space="preserve">tărilor efectuate de structurile antifraudă fiscală, s-a identificat o vulnerabilitate în aplicarea art. 157 alin. (3) din Legea nr. 207/2015 privind Codul de procedură fiscală. </w:t>
      </w:r>
      <w:r>
        <w:rPr>
          <w:rFonts w:ascii="Trebuchet MS" w:eastAsia="Times New Roman" w:hAnsi="Trebuchet MS" w:cs="Trebuchet MS"/>
          <w:sz w:val="24"/>
          <w:szCs w:val="24"/>
          <w:lang w:val="ro-RO"/>
        </w:rPr>
        <w:t>Conform acestui articol,</w:t>
      </w:r>
      <w:r>
        <w:rPr>
          <w:rFonts w:ascii="Trebuchet MS" w:eastAsia="Times New Roman" w:hAnsi="Trebuchet MS" w:cs="Trebuchet MS"/>
          <w:sz w:val="24"/>
          <w:szCs w:val="24"/>
          <w:lang w:val="ro-RO"/>
        </w:rPr>
        <w:t xml:space="preserve"> nu se consideră că un contribuabil înregistrează obli</w:t>
      </w:r>
      <w:r>
        <w:rPr>
          <w:rFonts w:ascii="Trebuchet MS" w:eastAsia="Times New Roman" w:hAnsi="Trebuchet MS" w:cs="Trebuchet MS"/>
          <w:sz w:val="24"/>
          <w:szCs w:val="24"/>
          <w:lang w:val="ro-RO"/>
        </w:rPr>
        <w:t xml:space="preserve">gații fiscale restante în situația în care suma obligațiilor fiscale datorate este mai mică sau egală cu suma de rambursat/restituit pentru care există cerere în curs de soluționare. </w:t>
      </w:r>
    </w:p>
    <w:p w:rsidR="00965F02" w:rsidRDefault="00A82584">
      <w:pPr>
        <w:spacing w:before="100" w:beforeAutospacing="1" w:after="0" w:line="240" w:lineRule="auto"/>
        <w:rPr>
          <w:rFonts w:ascii="Trebuchet MS" w:eastAsia="Times New Roman" w:hAnsi="Trebuchet MS" w:cs="Trebuchet MS"/>
          <w:sz w:val="24"/>
          <w:szCs w:val="24"/>
          <w:lang w:val="ro-RO"/>
        </w:rPr>
      </w:pPr>
      <w:r>
        <w:rPr>
          <w:rFonts w:ascii="Trebuchet MS" w:eastAsia="Times New Roman" w:hAnsi="Trebuchet MS" w:cs="Trebuchet MS"/>
          <w:sz w:val="24"/>
          <w:szCs w:val="24"/>
          <w:lang w:val="ro-RO"/>
        </w:rPr>
        <w:t xml:space="preserve">Această prevedere a fost exploatată de anumiți operatori economici care </w:t>
      </w:r>
      <w:r>
        <w:rPr>
          <w:rFonts w:ascii="Trebuchet MS" w:eastAsia="Times New Roman" w:hAnsi="Trebuchet MS" w:cs="Trebuchet MS"/>
          <w:sz w:val="24"/>
          <w:szCs w:val="24"/>
          <w:lang w:val="ro-RO"/>
        </w:rPr>
        <w:t>au depus cereri de restituire nejustificate, cu scopul de a reduce artificial obligațiile fiscale restante și, astfel, de a evita măsurile de executare silită sau suspendarea/revocarea autorizației de operator economic în domeniul produselor accizabile.</w:t>
      </w:r>
    </w:p>
    <w:p w:rsidR="00965F02" w:rsidRDefault="00965F02">
      <w:pPr>
        <w:spacing w:before="100" w:beforeAutospacing="1" w:after="0" w:line="240" w:lineRule="auto"/>
        <w:rPr>
          <w:rFonts w:ascii="Trebuchet MS" w:eastAsia="Times New Roman" w:hAnsi="Trebuchet MS" w:cs="Trebuchet MS"/>
          <w:sz w:val="24"/>
          <w:szCs w:val="24"/>
          <w:lang w:val="ro-RO"/>
        </w:rPr>
      </w:pPr>
    </w:p>
    <w:p w:rsidR="00965F02" w:rsidRDefault="00A82584">
      <w:pPr>
        <w:spacing w:before="100" w:beforeAutospacing="1" w:after="0" w:line="240" w:lineRule="auto"/>
        <w:rPr>
          <w:rFonts w:ascii="Trebuchet MS" w:eastAsia="Times New Roman" w:hAnsi="Trebuchet MS" w:cs="Trebuchet MS"/>
          <w:sz w:val="24"/>
          <w:szCs w:val="24"/>
          <w:lang w:val="ro-RO"/>
        </w:rPr>
      </w:pPr>
      <w:r>
        <w:rPr>
          <w:rFonts w:ascii="Trebuchet MS" w:eastAsia="Times New Roman" w:hAnsi="Trebuchet MS" w:cs="Trebuchet MS"/>
          <w:sz w:val="24"/>
          <w:szCs w:val="24"/>
        </w:rPr>
        <w:t>Totodata, av</w:t>
      </w:r>
      <w:r>
        <w:rPr>
          <w:rFonts w:ascii="Trebuchet MS" w:eastAsia="Times New Roman" w:hAnsi="Trebuchet MS" w:cs="Trebuchet MS"/>
          <w:sz w:val="24"/>
          <w:szCs w:val="24"/>
          <w:lang w:val="ro-RO"/>
        </w:rPr>
        <w:t xml:space="preserve">ând în vedere specificul aferent comertului cu produse energetice, produse alcoolice și produse din tutun prelucrat,  conform căruia achizitiile implică sume </w:t>
      </w:r>
      <w:r>
        <w:rPr>
          <w:rFonts w:ascii="Trebuchet MS" w:eastAsia="Times New Roman" w:hAnsi="Trebuchet MS" w:cs="Trebuchet MS"/>
          <w:sz w:val="24"/>
          <w:szCs w:val="24"/>
          <w:lang w:val="ro-RO"/>
        </w:rPr>
        <w:lastRenderedPageBreak/>
        <w:t xml:space="preserve">importante de bani, </w:t>
      </w:r>
      <w:r>
        <w:rPr>
          <w:rFonts w:ascii="Trebuchet MS" w:eastAsia="Times New Roman" w:hAnsi="Trebuchet MS" w:cs="Trebuchet MS"/>
          <w:sz w:val="24"/>
          <w:szCs w:val="24"/>
        </w:rPr>
        <w:t>sa constatat</w:t>
      </w:r>
      <w:r>
        <w:rPr>
          <w:rFonts w:ascii="Trebuchet MS" w:eastAsia="Times New Roman" w:hAnsi="Trebuchet MS" w:cs="Trebuchet MS"/>
          <w:sz w:val="24"/>
          <w:szCs w:val="24"/>
          <w:lang w:val="ro-RO"/>
        </w:rPr>
        <w:t xml:space="preserve"> </w:t>
      </w:r>
      <w:r>
        <w:rPr>
          <w:rFonts w:ascii="Trebuchet MS" w:eastAsia="Times New Roman" w:hAnsi="Trebuchet MS" w:cs="Trebuchet MS"/>
          <w:sz w:val="24"/>
          <w:szCs w:val="24"/>
        </w:rPr>
        <w:t>lipsa fondurilor financiare</w:t>
      </w:r>
      <w:r>
        <w:rPr>
          <w:rFonts w:ascii="Trebuchet MS" w:eastAsia="Times New Roman" w:hAnsi="Trebuchet MS" w:cs="Trebuchet MS"/>
          <w:sz w:val="24"/>
          <w:szCs w:val="24"/>
          <w:lang w:val="ro-RO"/>
        </w:rPr>
        <w:t xml:space="preserve"> proprii</w:t>
      </w:r>
      <w:r>
        <w:rPr>
          <w:rFonts w:ascii="Trebuchet MS" w:eastAsia="Times New Roman" w:hAnsi="Trebuchet MS" w:cs="Trebuchet MS"/>
          <w:sz w:val="24"/>
          <w:szCs w:val="24"/>
        </w:rPr>
        <w:t xml:space="preserve"> necesare achizitiilor de produse accizabil</w:t>
      </w:r>
      <w:r>
        <w:rPr>
          <w:rFonts w:ascii="Trebuchet MS" w:eastAsia="Times New Roman" w:hAnsi="Trebuchet MS" w:cs="Trebuchet MS"/>
          <w:sz w:val="24"/>
          <w:szCs w:val="24"/>
          <w:lang w:val="ro-RO"/>
        </w:rPr>
        <w:t>e.</w:t>
      </w:r>
    </w:p>
    <w:p w:rsidR="00965F02" w:rsidRDefault="00A82584">
      <w:pPr>
        <w:spacing w:before="100" w:beforeAutospacing="1" w:after="119" w:line="240" w:lineRule="auto"/>
        <w:rPr>
          <w:rFonts w:ascii="Trebuchet MS" w:eastAsia="Times New Roman" w:hAnsi="Trebuchet MS" w:cs="Trebuchet MS"/>
          <w:sz w:val="24"/>
          <w:szCs w:val="24"/>
          <w:lang w:val="ro-RO"/>
        </w:rPr>
      </w:pPr>
      <w:r>
        <w:rPr>
          <w:rFonts w:ascii="Trebuchet MS" w:eastAsia="Times New Roman" w:hAnsi="Trebuchet MS" w:cs="Trebuchet MS"/>
          <w:sz w:val="24"/>
          <w:szCs w:val="24"/>
          <w:lang w:val="ro-RO"/>
        </w:rPr>
        <w:t>Propunere de completare</w:t>
      </w:r>
      <w:r>
        <w:rPr>
          <w:rFonts w:ascii="Trebuchet MS" w:eastAsia="Times New Roman" w:hAnsi="Trebuchet MS" w:cs="Trebuchet MS"/>
          <w:sz w:val="24"/>
          <w:szCs w:val="24"/>
        </w:rPr>
        <w:t>: p</w:t>
      </w:r>
      <w:r>
        <w:rPr>
          <w:rFonts w:ascii="Trebuchet MS" w:eastAsia="Times New Roman" w:hAnsi="Trebuchet MS" w:cs="Trebuchet MS"/>
          <w:sz w:val="24"/>
          <w:szCs w:val="24"/>
          <w:lang w:val="ro-RO"/>
        </w:rPr>
        <w:t>entru a preveni astfel de practici și a asigura integritatea sistemului fiscal, se propune introducerea a două noi criterii de risc fiscal, în Ordinul comun ANAF – AVR nr. 417/1204/202</w:t>
      </w:r>
      <w:r>
        <w:rPr>
          <w:rFonts w:ascii="Trebuchet MS" w:eastAsia="Times New Roman" w:hAnsi="Trebuchet MS" w:cs="Trebuchet MS"/>
          <w:sz w:val="24"/>
          <w:szCs w:val="24"/>
          <w:lang w:val="ro-RO"/>
        </w:rPr>
        <w:t>5, la art. 1, p</w:t>
      </w:r>
      <w:r>
        <w:rPr>
          <w:rFonts w:ascii="Trebuchet MS" w:eastAsia="Times New Roman" w:hAnsi="Trebuchet MS" w:cs="Trebuchet MS"/>
          <w:sz w:val="24"/>
          <w:szCs w:val="24"/>
        </w:rPr>
        <w:t xml:space="preserve">ct. </w:t>
      </w:r>
      <w:r>
        <w:rPr>
          <w:rFonts w:ascii="Trebuchet MS" w:eastAsia="Times New Roman" w:hAnsi="Trebuchet MS" w:cs="Trebuchet MS"/>
          <w:sz w:val="24"/>
          <w:szCs w:val="24"/>
          <w:lang w:val="ro-RO"/>
        </w:rPr>
        <w:t>7, după cum urmează:</w:t>
      </w:r>
    </w:p>
    <w:p w:rsidR="00965F02" w:rsidRDefault="00A82584">
      <w:pPr>
        <w:spacing w:before="100" w:beforeAutospacing="1" w:after="119" w:line="240" w:lineRule="auto"/>
        <w:rPr>
          <w:rFonts w:ascii="Trebuchet MS" w:eastAsia="Times New Roman" w:hAnsi="Trebuchet MS" w:cs="Trebuchet MS"/>
          <w:sz w:val="24"/>
          <w:szCs w:val="24"/>
          <w:lang w:val="ro-RO"/>
        </w:rPr>
      </w:pPr>
      <w:r>
        <w:rPr>
          <w:rFonts w:ascii="Trebuchet MS" w:eastAsia="Times New Roman" w:hAnsi="Trebuchet MS" w:cs="Trebuchet MS"/>
          <w:sz w:val="24"/>
          <w:szCs w:val="24"/>
          <w:lang w:val="ro-RO"/>
        </w:rPr>
        <w:t>„</w:t>
      </w:r>
      <w:r>
        <w:rPr>
          <w:rFonts w:ascii="Trebuchet MS" w:eastAsia="Times New Roman" w:hAnsi="Trebuchet MS" w:cs="Trebuchet MS"/>
          <w:sz w:val="24"/>
          <w:szCs w:val="24"/>
        </w:rPr>
        <w:t xml:space="preserve">e) </w:t>
      </w:r>
      <w:r>
        <w:rPr>
          <w:rFonts w:ascii="Trebuchet MS" w:eastAsia="Times New Roman" w:hAnsi="Trebuchet MS" w:cs="Trebuchet MS"/>
          <w:sz w:val="24"/>
          <w:szCs w:val="24"/>
          <w:lang w:val="ro-RO"/>
        </w:rPr>
        <w:t xml:space="preserve">care </w:t>
      </w:r>
      <w:r>
        <w:rPr>
          <w:rFonts w:ascii="Trebuchet MS" w:eastAsia="Times New Roman" w:hAnsi="Trebuchet MS" w:cs="Trebuchet MS"/>
          <w:sz w:val="24"/>
          <w:szCs w:val="24"/>
        </w:rPr>
        <w:t>au solicitat</w:t>
      </w:r>
      <w:r>
        <w:rPr>
          <w:rFonts w:ascii="Trebuchet MS" w:eastAsia="Times New Roman" w:hAnsi="Trebuchet MS" w:cs="Trebuchet MS"/>
          <w:sz w:val="24"/>
          <w:szCs w:val="24"/>
          <w:lang w:val="ro-RO"/>
        </w:rPr>
        <w:t xml:space="preserve"> restituire sau compensare</w:t>
      </w:r>
      <w:r>
        <w:rPr>
          <w:rFonts w:ascii="Trebuchet MS" w:eastAsia="Times New Roman" w:hAnsi="Trebuchet MS" w:cs="Trebuchet MS"/>
          <w:sz w:val="24"/>
          <w:szCs w:val="24"/>
        </w:rPr>
        <w:t xml:space="preserve">a unor sume de bani de la </w:t>
      </w:r>
      <w:r>
        <w:rPr>
          <w:rFonts w:ascii="Trebuchet MS" w:eastAsia="Times New Roman" w:hAnsi="Trebuchet MS" w:cs="Trebuchet MS"/>
          <w:sz w:val="24"/>
          <w:szCs w:val="24"/>
          <w:lang w:val="ro-RO"/>
        </w:rPr>
        <w:t xml:space="preserve">bugetul general consolidat, </w:t>
      </w:r>
      <w:r>
        <w:rPr>
          <w:rFonts w:ascii="Trebuchet MS" w:eastAsia="Times New Roman" w:hAnsi="Trebuchet MS" w:cs="Trebuchet MS"/>
          <w:sz w:val="24"/>
          <w:szCs w:val="24"/>
        </w:rPr>
        <w:t xml:space="preserve">iar </w:t>
      </w:r>
      <w:r>
        <w:rPr>
          <w:rFonts w:ascii="Trebuchet MS" w:eastAsia="Times New Roman" w:hAnsi="Trebuchet MS" w:cs="Trebuchet MS"/>
          <w:sz w:val="24"/>
          <w:szCs w:val="24"/>
          <w:lang w:val="ro-RO"/>
        </w:rPr>
        <w:t>în urma</w:t>
      </w:r>
      <w:r>
        <w:rPr>
          <w:rFonts w:ascii="Trebuchet MS" w:eastAsia="Times New Roman" w:hAnsi="Trebuchet MS" w:cs="Trebuchet MS"/>
          <w:sz w:val="24"/>
          <w:szCs w:val="24"/>
        </w:rPr>
        <w:t xml:space="preserve"> ac</w:t>
      </w:r>
      <w:r>
        <w:rPr>
          <w:rFonts w:ascii="Trebuchet MS" w:eastAsia="Times New Roman" w:hAnsi="Trebuchet MS" w:cs="Trebuchet MS"/>
          <w:sz w:val="24"/>
          <w:szCs w:val="24"/>
          <w:lang w:val="ro-RO"/>
        </w:rPr>
        <w:t>țiunilor de control ale organelor fiscale, se constată că pentru cel puțin 25% din suma solicitată nu</w:t>
      </w:r>
      <w:r>
        <w:rPr>
          <w:rFonts w:ascii="Trebuchet MS" w:eastAsia="Times New Roman" w:hAnsi="Trebuchet MS" w:cs="Trebuchet MS"/>
          <w:sz w:val="24"/>
          <w:szCs w:val="24"/>
          <w:lang w:val="ro-RO"/>
        </w:rPr>
        <w:t xml:space="preserve"> are drept de restituire</w:t>
      </w:r>
      <w:r>
        <w:rPr>
          <w:rFonts w:ascii="Trebuchet MS" w:eastAsia="Times New Roman" w:hAnsi="Trebuchet MS" w:cs="Trebuchet MS"/>
          <w:sz w:val="24"/>
          <w:szCs w:val="24"/>
        </w:rPr>
        <w:t>;</w:t>
      </w:r>
      <w:r>
        <w:rPr>
          <w:rFonts w:ascii="Trebuchet MS" w:eastAsia="Times New Roman" w:hAnsi="Trebuchet MS" w:cs="Trebuchet MS"/>
          <w:sz w:val="24"/>
          <w:szCs w:val="24"/>
          <w:lang w:val="ro-RO"/>
        </w:rPr>
        <w:t>”</w:t>
      </w:r>
    </w:p>
    <w:p w:rsidR="00965F02" w:rsidRDefault="00A82584">
      <w:pPr>
        <w:spacing w:before="100" w:beforeAutospacing="1" w:after="119" w:line="240" w:lineRule="auto"/>
        <w:rPr>
          <w:rFonts w:ascii="Trebuchet MS" w:eastAsia="Times New Roman" w:hAnsi="Trebuchet MS" w:cs="Trebuchet MS"/>
          <w:sz w:val="24"/>
          <w:szCs w:val="24"/>
        </w:rPr>
      </w:pPr>
      <w:r>
        <w:rPr>
          <w:rFonts w:ascii="Trebuchet MS" w:eastAsia="Times New Roman" w:hAnsi="Trebuchet MS" w:cs="Trebuchet MS"/>
          <w:sz w:val="24"/>
          <w:szCs w:val="24"/>
          <w:lang w:val="ro-RO"/>
        </w:rPr>
        <w:t>„</w:t>
      </w:r>
      <w:r>
        <w:rPr>
          <w:rFonts w:ascii="Trebuchet MS" w:eastAsia="Times New Roman" w:hAnsi="Trebuchet MS" w:cs="Trebuchet MS"/>
          <w:sz w:val="24"/>
          <w:szCs w:val="24"/>
        </w:rPr>
        <w:t>f) care nu au fonduri financiare necesare achizitiilor de produse accizabile.”</w:t>
      </w:r>
    </w:p>
    <w:p w:rsidR="00965F02" w:rsidRDefault="00A82584">
      <w:pPr>
        <w:spacing w:before="100" w:beforeAutospacing="1" w:after="119" w:line="240" w:lineRule="auto"/>
        <w:rPr>
          <w:rFonts w:ascii="Trebuchet MS" w:eastAsia="Times New Roman" w:hAnsi="Trebuchet MS" w:cs="Trebuchet MS"/>
          <w:sz w:val="24"/>
          <w:szCs w:val="24"/>
          <w:lang w:val="ro-RO"/>
        </w:rPr>
      </w:pPr>
      <w:r>
        <w:rPr>
          <w:rFonts w:ascii="Trebuchet MS" w:eastAsia="Times New Roman" w:hAnsi="Trebuchet MS" w:cs="Trebuchet MS"/>
          <w:sz w:val="24"/>
          <w:szCs w:val="24"/>
          <w:lang w:val="ro-RO"/>
        </w:rPr>
        <w:t>Aceast</w:t>
      </w:r>
      <w:r>
        <w:rPr>
          <w:rFonts w:ascii="Trebuchet MS" w:eastAsia="Times New Roman" w:hAnsi="Trebuchet MS" w:cs="Trebuchet MS"/>
          <w:sz w:val="24"/>
          <w:szCs w:val="24"/>
        </w:rPr>
        <w:t xml:space="preserve">e </w:t>
      </w:r>
      <w:r>
        <w:rPr>
          <w:rFonts w:ascii="Trebuchet MS" w:eastAsia="Times New Roman" w:hAnsi="Trebuchet MS" w:cs="Trebuchet MS"/>
          <w:sz w:val="24"/>
          <w:szCs w:val="24"/>
          <w:lang w:val="ro-RO"/>
        </w:rPr>
        <w:t>completar</w:t>
      </w:r>
      <w:r>
        <w:rPr>
          <w:rFonts w:ascii="Trebuchet MS" w:eastAsia="Times New Roman" w:hAnsi="Trebuchet MS" w:cs="Trebuchet MS"/>
          <w:sz w:val="24"/>
          <w:szCs w:val="24"/>
        </w:rPr>
        <w:t>i</w:t>
      </w:r>
      <w:r>
        <w:rPr>
          <w:rFonts w:ascii="Trebuchet MS" w:eastAsia="Times New Roman" w:hAnsi="Trebuchet MS" w:cs="Trebuchet MS"/>
          <w:sz w:val="24"/>
          <w:szCs w:val="24"/>
          <w:lang w:val="ro-RO"/>
        </w:rPr>
        <w:t xml:space="preserve"> v</w:t>
      </w:r>
      <w:r>
        <w:rPr>
          <w:rFonts w:ascii="Trebuchet MS" w:eastAsia="Times New Roman" w:hAnsi="Trebuchet MS" w:cs="Trebuchet MS"/>
          <w:sz w:val="24"/>
          <w:szCs w:val="24"/>
        </w:rPr>
        <w:t>or</w:t>
      </w:r>
      <w:r>
        <w:rPr>
          <w:rFonts w:ascii="Trebuchet MS" w:eastAsia="Times New Roman" w:hAnsi="Trebuchet MS" w:cs="Trebuchet MS"/>
          <w:sz w:val="24"/>
          <w:szCs w:val="24"/>
          <w:lang w:val="ro-RO"/>
        </w:rPr>
        <w:t xml:space="preserve"> permite autorităților fiscale să identifice și să monitorizeze mai eficient contribuabilii care utilizează în mod abuziv proce</w:t>
      </w:r>
      <w:r>
        <w:rPr>
          <w:rFonts w:ascii="Trebuchet MS" w:eastAsia="Times New Roman" w:hAnsi="Trebuchet MS" w:cs="Trebuchet MS"/>
          <w:sz w:val="24"/>
          <w:szCs w:val="24"/>
          <w:lang w:val="ro-RO"/>
        </w:rPr>
        <w:t>durile de restituire, contribuind la consolidarea disciplinei fiscale și la protejarea resurselor bugetare.</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b/>
          <w:bCs/>
          <w:sz w:val="24"/>
          <w:szCs w:val="24"/>
          <w:lang w:val="ro-RO"/>
        </w:rPr>
        <w:t>10. Având în vedere aplicarea practică a prevederilor Ordinului comun ANAF – AVR nr. 417/1204/2025 privind stabilirea operatorilor economici cu risc</w:t>
      </w:r>
      <w:r>
        <w:rPr>
          <w:rFonts w:ascii="Trebuchet MS" w:hAnsi="Trebuchet MS" w:cs="Trebuchet MS"/>
          <w:b/>
          <w:bCs/>
          <w:sz w:val="24"/>
          <w:szCs w:val="24"/>
          <w:lang w:val="ro-RO"/>
        </w:rPr>
        <w:t xml:space="preserve"> fiscal ridicat</w:t>
      </w:r>
      <w:r>
        <w:rPr>
          <w:rFonts w:ascii="Trebuchet MS" w:hAnsi="Trebuchet MS" w:cs="Trebuchet MS"/>
          <w:sz w:val="24"/>
          <w:szCs w:val="24"/>
          <w:lang w:val="ro-RO"/>
        </w:rPr>
        <w:t xml:space="preserve">, </w:t>
      </w:r>
      <w:r>
        <w:rPr>
          <w:rFonts w:ascii="Trebuchet MS" w:hAnsi="Trebuchet MS" w:cs="Trebuchet MS"/>
          <w:b/>
          <w:bCs/>
          <w:sz w:val="24"/>
          <w:szCs w:val="24"/>
          <w:lang w:val="ro-RO"/>
        </w:rPr>
        <w:t>a fost identificată o situație neacoperită de actuala reglementare.</w:t>
      </w:r>
      <w:r>
        <w:rPr>
          <w:rFonts w:ascii="Trebuchet MS" w:hAnsi="Trebuchet MS" w:cs="Trebuchet MS"/>
          <w:sz w:val="24"/>
          <w:szCs w:val="24"/>
          <w:lang w:val="ro-RO"/>
        </w:rPr>
        <w:t xml:space="preserve"> Referitoare la contribuabilii care nu se încadrează inițial în niciunul dintre criteriile de risc prevăzute la art. 1, dar care, ulterior, în urma controalelor efectuate d</w:t>
      </w:r>
      <w:r>
        <w:rPr>
          <w:rFonts w:ascii="Trebuchet MS" w:hAnsi="Trebuchet MS" w:cs="Trebuchet MS"/>
          <w:sz w:val="24"/>
          <w:szCs w:val="24"/>
          <w:lang w:val="ro-RO"/>
        </w:rPr>
        <w:t>e structurile competente din cadrul ANAF sau al Autorității Vamale Române, dovedesc un comportament fiscal neconform.</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Pentru a acoperi acest vid normativ și pentru a asigura un mecanism de reacție adecvat la riscurile identificate post-analiză, propunem co</w:t>
      </w:r>
      <w:r>
        <w:rPr>
          <w:rFonts w:ascii="Trebuchet MS" w:hAnsi="Trebuchet MS" w:cs="Trebuchet MS"/>
          <w:sz w:val="24"/>
          <w:szCs w:val="24"/>
          <w:lang w:val="ro-RO"/>
        </w:rPr>
        <w:t>mpletarea Ordinului cu un nou articol – art. 1^1, cu următorul conținut:</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Art. 1^1 În situația în care în urma acțiunilor de control ale organelor fiscal se constată faptul că un operator economic autorizat</w:t>
      </w:r>
      <w:r>
        <w:rPr>
          <w:rFonts w:ascii="Trebuchet MS" w:hAnsi="Trebuchet MS" w:cs="Trebuchet MS"/>
          <w:sz w:val="24"/>
          <w:szCs w:val="24"/>
        </w:rPr>
        <w:t xml:space="preserve"> </w:t>
      </w:r>
      <w:r>
        <w:rPr>
          <w:rFonts w:ascii="Trebuchet MS" w:hAnsi="Trebuchet MS" w:cs="Trebuchet MS"/>
          <w:sz w:val="24"/>
          <w:szCs w:val="24"/>
          <w:lang w:val="ro-RO"/>
        </w:rPr>
        <w:t>ș</w:t>
      </w:r>
      <w:r>
        <w:rPr>
          <w:rFonts w:ascii="Trebuchet MS" w:hAnsi="Trebuchet MS" w:cs="Trebuchet MS"/>
          <w:sz w:val="24"/>
          <w:szCs w:val="24"/>
          <w:lang w:val="ro-RO"/>
        </w:rPr>
        <w:t xml:space="preserve">i/sau înregistrat, care nu a fost încadrat </w:t>
      </w:r>
      <w:r>
        <w:rPr>
          <w:rFonts w:ascii="Trebuchet MS" w:hAnsi="Trebuchet MS" w:cs="Trebuchet MS"/>
          <w:sz w:val="24"/>
          <w:szCs w:val="24"/>
          <w:lang w:val="ro-RO"/>
        </w:rPr>
        <w:t>inițial în categoria de risc fiscal ridicat, se încadrează ulterior, într-unul dintre criteriile de risc prevăzute la art. 1, în termen de maxim 5 zile se comunică Agenției Naționale de Administrare Fiscală - Direcția Generală Antifraudă Fiscală – Structur</w:t>
      </w:r>
      <w:r>
        <w:rPr>
          <w:rFonts w:ascii="Trebuchet MS" w:hAnsi="Trebuchet MS" w:cs="Trebuchet MS"/>
          <w:sz w:val="24"/>
          <w:szCs w:val="24"/>
          <w:lang w:val="ro-RO"/>
        </w:rPr>
        <w:t>a Centrală, riscul fiscal identificat, în vederea analizării și informării autorității vamale teritoriale competente.</w:t>
      </w:r>
      <w:r>
        <w:rPr>
          <w:rFonts w:ascii="Trebuchet MS" w:hAnsi="Trebuchet MS" w:cs="Trebuchet MS"/>
          <w:sz w:val="24"/>
          <w:szCs w:val="24"/>
        </w:rPr>
        <w:t>”</w:t>
      </w:r>
      <w:r>
        <w:rPr>
          <w:rFonts w:ascii="Trebuchet MS" w:hAnsi="Trebuchet MS" w:cs="Trebuchet MS"/>
          <w:sz w:val="24"/>
          <w:szCs w:val="24"/>
          <w:lang w:val="ro-RO"/>
        </w:rPr>
        <w:t xml:space="preserve">  </w:t>
      </w:r>
    </w:p>
    <w:p w:rsidR="00965F02" w:rsidRDefault="00A82584">
      <w:pPr>
        <w:shd w:val="clear" w:color="auto" w:fill="FFFFFF" w:themeFill="background1"/>
        <w:tabs>
          <w:tab w:val="left" w:pos="0"/>
        </w:tabs>
        <w:rPr>
          <w:rFonts w:ascii="Trebuchet MS" w:hAnsi="Trebuchet MS" w:cs="Trebuchet MS"/>
          <w:sz w:val="24"/>
          <w:szCs w:val="24"/>
          <w:lang w:val="ro-RO"/>
        </w:rPr>
      </w:pPr>
      <w:r>
        <w:rPr>
          <w:rFonts w:ascii="Trebuchet MS" w:hAnsi="Trebuchet MS" w:cs="Trebuchet MS"/>
          <w:sz w:val="24"/>
          <w:szCs w:val="24"/>
          <w:lang w:val="ro-RO"/>
        </w:rPr>
        <w:t>Această completare va permite încadrarea corectă și promptă a operatorilor economici care, deși au trecut inițial neobservați, au manif</w:t>
      </w:r>
      <w:r>
        <w:rPr>
          <w:rFonts w:ascii="Trebuchet MS" w:hAnsi="Trebuchet MS" w:cs="Trebuchet MS"/>
          <w:sz w:val="24"/>
          <w:szCs w:val="24"/>
          <w:lang w:val="ro-RO"/>
        </w:rPr>
        <w:t>estat ulterior un comportament fiscal cu risc semnificativ, consolidând eficiența și capacitatea de reacție a instituțiilor în domeniul fiscal și vamal.</w:t>
      </w:r>
    </w:p>
    <w:p w:rsidR="00965F02" w:rsidRDefault="00A82584">
      <w:pPr>
        <w:numPr>
          <w:ilvl w:val="0"/>
          <w:numId w:val="2"/>
        </w:numPr>
        <w:shd w:val="clear" w:color="auto" w:fill="FFFFFF" w:themeFill="background1"/>
        <w:tabs>
          <w:tab w:val="left" w:pos="0"/>
        </w:tabs>
        <w:rPr>
          <w:rFonts w:ascii="Trebuchet MS" w:hAnsi="Trebuchet MS" w:cs="Trebuchet MS"/>
          <w:bCs/>
          <w:sz w:val="24"/>
          <w:szCs w:val="24"/>
          <w:highlight w:val="white"/>
          <w:lang w:val="ro-RO"/>
        </w:rPr>
      </w:pPr>
      <w:r>
        <w:rPr>
          <w:rFonts w:ascii="Trebuchet MS" w:hAnsi="Trebuchet MS" w:cs="Trebuchet MS"/>
          <w:b/>
          <w:sz w:val="24"/>
          <w:szCs w:val="24"/>
          <w:highlight w:val="white"/>
          <w:lang w:val="ro-RO"/>
        </w:rPr>
        <w:t>Avand in vedere ca dupa punerea in aplicarea a Ordinului s-a constatat ca autorizarea nu poate fi condi</w:t>
      </w:r>
      <w:r>
        <w:rPr>
          <w:rFonts w:ascii="Trebuchet MS" w:hAnsi="Trebuchet MS" w:cs="Trebuchet MS"/>
          <w:b/>
          <w:sz w:val="24"/>
          <w:szCs w:val="24"/>
          <w:highlight w:val="white"/>
          <w:lang w:val="ro-RO"/>
        </w:rPr>
        <w:t xml:space="preserve">tionata de analizarea dupa criteriile de risc fiscal si ca aceasta analiza se poate face numai dupa ce un operator economic detine autorizatie se impune modificarea articolului 4 astfel: </w:t>
      </w:r>
      <w:r>
        <w:rPr>
          <w:rFonts w:ascii="Trebuchet MS" w:hAnsi="Trebuchet MS" w:cs="Trebuchet MS"/>
          <w:bCs/>
          <w:sz w:val="24"/>
          <w:szCs w:val="24"/>
          <w:highlight w:val="white"/>
          <w:lang w:val="ro-RO"/>
        </w:rPr>
        <w:t xml:space="preserve"> </w:t>
      </w:r>
    </w:p>
    <w:p w:rsidR="00965F02" w:rsidRDefault="00A82584">
      <w:pPr>
        <w:rPr>
          <w:rFonts w:ascii="Trebuchet MS" w:hAnsi="Trebuchet MS" w:cs="Trebuchet MS"/>
          <w:sz w:val="24"/>
          <w:szCs w:val="24"/>
        </w:rPr>
      </w:pPr>
      <w:r>
        <w:rPr>
          <w:rFonts w:ascii="Trebuchet MS" w:hAnsi="Trebuchet MS" w:cs="Trebuchet MS"/>
          <w:sz w:val="24"/>
          <w:szCs w:val="24"/>
        </w:rPr>
        <w:t>Propunem următoarea modificare a articolului 4:</w:t>
      </w:r>
    </w:p>
    <w:p w:rsidR="00965F02" w:rsidRDefault="00A82584">
      <w:pPr>
        <w:rPr>
          <w:rFonts w:ascii="Trebuchet MS" w:hAnsi="Trebuchet MS" w:cs="Trebuchet MS"/>
          <w:sz w:val="24"/>
          <w:szCs w:val="24"/>
        </w:rPr>
      </w:pPr>
      <w:r>
        <w:rPr>
          <w:rFonts w:ascii="Trebuchet MS" w:hAnsi="Trebuchet MS" w:cs="Trebuchet MS"/>
          <w:sz w:val="24"/>
          <w:szCs w:val="24"/>
        </w:rPr>
        <w:t>Alineatul (1) se mo</w:t>
      </w:r>
      <w:r>
        <w:rPr>
          <w:rFonts w:ascii="Trebuchet MS" w:hAnsi="Trebuchet MS" w:cs="Trebuchet MS"/>
          <w:sz w:val="24"/>
          <w:szCs w:val="24"/>
        </w:rPr>
        <w:t>difică și va avea următorul cuprins:</w:t>
      </w:r>
    </w:p>
    <w:p w:rsidR="00965F02" w:rsidRDefault="00A82584">
      <w:pPr>
        <w:rPr>
          <w:rFonts w:ascii="Trebuchet MS" w:hAnsi="Trebuchet MS" w:cs="Trebuchet MS"/>
          <w:sz w:val="24"/>
          <w:szCs w:val="24"/>
        </w:rPr>
      </w:pPr>
      <w:r>
        <w:rPr>
          <w:rFonts w:ascii="Trebuchet MS" w:hAnsi="Trebuchet MS" w:cs="Trebuchet MS"/>
          <w:sz w:val="24"/>
          <w:szCs w:val="24"/>
        </w:rPr>
        <w:t xml:space="preserve">„(1) În cazul operatorilor economici care solicită autorizarea ca destinatar înregistrați, autoritatea vamală teritorială competentă pentru autorizare, în termen de 2 zile de la </w:t>
      </w:r>
      <w:r>
        <w:rPr>
          <w:rFonts w:ascii="Trebuchet MS" w:hAnsi="Trebuchet MS" w:cs="Trebuchet MS"/>
          <w:sz w:val="24"/>
          <w:szCs w:val="24"/>
        </w:rPr>
        <w:lastRenderedPageBreak/>
        <w:t>data emiterii autorizației solicită Agenț</w:t>
      </w:r>
      <w:r>
        <w:rPr>
          <w:rFonts w:ascii="Trebuchet MS" w:hAnsi="Trebuchet MS" w:cs="Trebuchet MS"/>
          <w:sz w:val="24"/>
          <w:szCs w:val="24"/>
        </w:rPr>
        <w:t>iei Naționale de Administrare Fiscală – Direcția Generală Antifraudă Fiscală – Structura Centrală analizarea criteriilor de risc fiscal pentru operatorul economic.”</w:t>
      </w:r>
    </w:p>
    <w:p w:rsidR="00965F02" w:rsidRDefault="00A82584">
      <w:pPr>
        <w:rPr>
          <w:rFonts w:ascii="Trebuchet MS" w:hAnsi="Trebuchet MS" w:cs="Trebuchet MS"/>
          <w:sz w:val="24"/>
          <w:szCs w:val="24"/>
        </w:rPr>
      </w:pPr>
      <w:r>
        <w:rPr>
          <w:rFonts w:ascii="Trebuchet MS" w:hAnsi="Trebuchet MS" w:cs="Trebuchet MS"/>
          <w:sz w:val="24"/>
          <w:szCs w:val="24"/>
        </w:rPr>
        <w:t>Alineatul (2) se abrogă.</w:t>
      </w:r>
    </w:p>
    <w:p w:rsidR="00965F02" w:rsidRDefault="00965F02">
      <w:pPr>
        <w:rPr>
          <w:rFonts w:ascii="Trebuchet MS" w:hAnsi="Trebuchet MS" w:cs="Trebuchet MS"/>
          <w:i/>
          <w:iCs/>
          <w:sz w:val="24"/>
          <w:szCs w:val="24"/>
        </w:rPr>
      </w:pPr>
    </w:p>
    <w:p w:rsidR="00965F02" w:rsidRDefault="00965F02">
      <w:pPr>
        <w:rPr>
          <w:rFonts w:ascii="Trebuchet MS" w:hAnsi="Trebuchet MS" w:cs="Trebuchet MS"/>
          <w:sz w:val="24"/>
          <w:szCs w:val="24"/>
        </w:rPr>
      </w:pPr>
    </w:p>
    <w:p w:rsidR="00965F02" w:rsidRDefault="00965F02">
      <w:pPr>
        <w:pStyle w:val="NormalWeb"/>
        <w:overflowPunct w:val="0"/>
        <w:spacing w:before="0" w:after="0" w:line="240" w:lineRule="auto"/>
        <w:jc w:val="right"/>
        <w:rPr>
          <w:rFonts w:ascii="Trebuchet MS" w:hAnsi="Trebuchet MS" w:cs="Trebuchet MS"/>
          <w:sz w:val="24"/>
          <w:szCs w:val="24"/>
        </w:rPr>
      </w:pPr>
    </w:p>
    <w:sectPr w:rsidR="00965F02">
      <w:footerReference w:type="default" r:id="rId11"/>
      <w:pgSz w:w="11906" w:h="16838"/>
      <w:pgMar w:top="737" w:right="729" w:bottom="1191" w:left="1790" w:header="0" w:footer="232" w:gutter="0"/>
      <w:cols w:space="720" w:equalWidth="0">
        <w:col w:w="9387"/>
      </w:cols>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584" w:rsidRDefault="00A82584">
      <w:pPr>
        <w:spacing w:after="0" w:line="240" w:lineRule="auto"/>
      </w:pPr>
      <w:r>
        <w:separator/>
      </w:r>
    </w:p>
  </w:endnote>
  <w:endnote w:type="continuationSeparator" w:id="0">
    <w:p w:rsidR="00A82584" w:rsidRDefault="00A82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panose1 w:val="05010000000000000000"/>
    <w:charset w:val="00"/>
    <w:family w:val="auto"/>
    <w:pitch w:val="default"/>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default"/>
    <w:sig w:usb0="00000287" w:usb1="00000000" w:usb2="00000000" w:usb3="00000000" w:csb0="2000009F" w:csb1="DFD7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904925"/>
    </w:sdtPr>
    <w:sdtEndPr/>
    <w:sdtContent>
      <w:p w:rsidR="00965F02" w:rsidRDefault="00965F02">
        <w:pPr>
          <w:pStyle w:val="Footer"/>
        </w:pPr>
      </w:p>
      <w:p w:rsidR="00965F02" w:rsidRDefault="00A82584">
        <w:pPr>
          <w:pStyle w:val="Footer"/>
          <w:rPr>
            <w:rFonts w:ascii="Trebuchet MS" w:hAnsi="Trebuchet MS"/>
          </w:rPr>
        </w:pPr>
        <w:r>
          <w:rPr>
            <w:rFonts w:ascii="Trebuchet MS" w:eastAsia="Franklin Gothic Demi" w:hAnsi="Trebuchet MS" w:cs="Arial"/>
            <w:b/>
            <w:bCs/>
            <w:color w:val="000000"/>
            <w:sz w:val="18"/>
            <w:szCs w:val="18"/>
            <w:lang w:val="ro-RO"/>
          </w:rPr>
          <w:t>Document care conține date cu caracter personal protejate de prevederile Regulamentului (UE) 2016/679</w:t>
        </w:r>
      </w:p>
      <w:p w:rsidR="00965F02" w:rsidRDefault="00A82584">
        <w:pPr>
          <w:pStyle w:val="Footer"/>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sidR="00775666">
          <w:rPr>
            <w:bCs/>
            <w:noProof/>
            <w:sz w:val="24"/>
            <w:szCs w:val="24"/>
          </w:rPr>
          <w:t>5</w:t>
        </w:r>
        <w:r>
          <w:rPr>
            <w:bCs/>
            <w:sz w:val="24"/>
            <w:szCs w:val="24"/>
          </w:rPr>
          <w:fldChar w:fldCharType="end"/>
        </w:r>
        <w:r>
          <w:rPr>
            <w:bCs/>
            <w:sz w:val="24"/>
            <w:szCs w:val="24"/>
          </w:rPr>
          <w:t>/</w:t>
        </w:r>
        <w:r>
          <w:rPr>
            <w:bCs/>
            <w:sz w:val="24"/>
            <w:szCs w:val="24"/>
          </w:rPr>
          <w:fldChar w:fldCharType="begin"/>
        </w:r>
        <w:r>
          <w:rPr>
            <w:bCs/>
            <w:sz w:val="24"/>
            <w:szCs w:val="24"/>
          </w:rPr>
          <w:instrText xml:space="preserve"> NUMPAGES </w:instrText>
        </w:r>
        <w:r>
          <w:rPr>
            <w:bCs/>
            <w:sz w:val="24"/>
            <w:szCs w:val="24"/>
          </w:rPr>
          <w:fldChar w:fldCharType="separate"/>
        </w:r>
        <w:r w:rsidR="00775666">
          <w:rPr>
            <w:bCs/>
            <w:noProof/>
            <w:sz w:val="24"/>
            <w:szCs w:val="24"/>
          </w:rPr>
          <w:t>7</w:t>
        </w:r>
        <w:r>
          <w:rPr>
            <w:bCs/>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584" w:rsidRDefault="00A82584">
      <w:pPr>
        <w:spacing w:after="0" w:line="240" w:lineRule="auto"/>
      </w:pPr>
      <w:r>
        <w:separator/>
      </w:r>
    </w:p>
  </w:footnote>
  <w:footnote w:type="continuationSeparator" w:id="0">
    <w:p w:rsidR="00A82584" w:rsidRDefault="00A825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78364E7"/>
    <w:multiLevelType w:val="singleLevel"/>
    <w:tmpl w:val="B78364E7"/>
    <w:lvl w:ilvl="0">
      <w:start w:val="5"/>
      <w:numFmt w:val="decimal"/>
      <w:suff w:val="space"/>
      <w:lvlText w:val="%1."/>
      <w:lvlJc w:val="left"/>
    </w:lvl>
  </w:abstractNum>
  <w:abstractNum w:abstractNumId="1">
    <w:nsid w:val="F4B5D9F5"/>
    <w:multiLevelType w:val="multilevel"/>
    <w:tmpl w:val="F4B5D9F5"/>
    <w:lvl w:ilvl="0">
      <w:numFmt w:val="bullet"/>
      <w:pStyle w:val="Heading1"/>
      <w:lvlText w:val="-"/>
      <w:lvlJc w:val="left"/>
      <w:pPr>
        <w:tabs>
          <w:tab w:val="left" w:pos="0"/>
        </w:tabs>
        <w:ind w:left="1069" w:hanging="360"/>
      </w:pPr>
      <w:rPr>
        <w:rFonts w:ascii="OpenSymbol" w:hAnsi="OpenSymbol" w:cs="OpenSymbol" w:hint="default"/>
      </w:r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55DC"/>
    <w:rsid w:val="00052F24"/>
    <w:rsid w:val="000621FF"/>
    <w:rsid w:val="00063EBB"/>
    <w:rsid w:val="00070F42"/>
    <w:rsid w:val="00082152"/>
    <w:rsid w:val="00085C31"/>
    <w:rsid w:val="000C304B"/>
    <w:rsid w:val="000D0079"/>
    <w:rsid w:val="000D478F"/>
    <w:rsid w:val="000E1463"/>
    <w:rsid w:val="00101E0B"/>
    <w:rsid w:val="001020CE"/>
    <w:rsid w:val="001157D9"/>
    <w:rsid w:val="001335ED"/>
    <w:rsid w:val="001537D8"/>
    <w:rsid w:val="00153B4A"/>
    <w:rsid w:val="00172A27"/>
    <w:rsid w:val="00173F8C"/>
    <w:rsid w:val="001955A2"/>
    <w:rsid w:val="001B1007"/>
    <w:rsid w:val="001C3F1A"/>
    <w:rsid w:val="001D1AC2"/>
    <w:rsid w:val="001D2390"/>
    <w:rsid w:val="001D5274"/>
    <w:rsid w:val="001F347B"/>
    <w:rsid w:val="0020452C"/>
    <w:rsid w:val="002059DB"/>
    <w:rsid w:val="0024611D"/>
    <w:rsid w:val="00246483"/>
    <w:rsid w:val="002956E8"/>
    <w:rsid w:val="002A6746"/>
    <w:rsid w:val="002C5778"/>
    <w:rsid w:val="002C5EE0"/>
    <w:rsid w:val="002E356C"/>
    <w:rsid w:val="002F162B"/>
    <w:rsid w:val="002F79D4"/>
    <w:rsid w:val="00326521"/>
    <w:rsid w:val="003357AA"/>
    <w:rsid w:val="0033590A"/>
    <w:rsid w:val="00337624"/>
    <w:rsid w:val="0035022D"/>
    <w:rsid w:val="0036326C"/>
    <w:rsid w:val="00363C8E"/>
    <w:rsid w:val="003A1093"/>
    <w:rsid w:val="003A6D9B"/>
    <w:rsid w:val="003E4A5E"/>
    <w:rsid w:val="00427DD1"/>
    <w:rsid w:val="0044705A"/>
    <w:rsid w:val="004564BA"/>
    <w:rsid w:val="00463204"/>
    <w:rsid w:val="004653C5"/>
    <w:rsid w:val="004724D2"/>
    <w:rsid w:val="00475054"/>
    <w:rsid w:val="0047511B"/>
    <w:rsid w:val="004A02E6"/>
    <w:rsid w:val="004F24DA"/>
    <w:rsid w:val="0050705E"/>
    <w:rsid w:val="00543042"/>
    <w:rsid w:val="005507A3"/>
    <w:rsid w:val="005B0A86"/>
    <w:rsid w:val="005B701B"/>
    <w:rsid w:val="005F0848"/>
    <w:rsid w:val="00606505"/>
    <w:rsid w:val="00620B8F"/>
    <w:rsid w:val="006218CE"/>
    <w:rsid w:val="00653952"/>
    <w:rsid w:val="006634DF"/>
    <w:rsid w:val="006A21B3"/>
    <w:rsid w:val="0070049A"/>
    <w:rsid w:val="00723633"/>
    <w:rsid w:val="007255E4"/>
    <w:rsid w:val="00753595"/>
    <w:rsid w:val="00764734"/>
    <w:rsid w:val="00773FE2"/>
    <w:rsid w:val="00775666"/>
    <w:rsid w:val="00777164"/>
    <w:rsid w:val="007A7D5C"/>
    <w:rsid w:val="007E0B0E"/>
    <w:rsid w:val="00805474"/>
    <w:rsid w:val="008101D0"/>
    <w:rsid w:val="00810EA8"/>
    <w:rsid w:val="00814DE8"/>
    <w:rsid w:val="00856282"/>
    <w:rsid w:val="00866FB3"/>
    <w:rsid w:val="00873598"/>
    <w:rsid w:val="00873AD5"/>
    <w:rsid w:val="008B3269"/>
    <w:rsid w:val="008E0B29"/>
    <w:rsid w:val="0090159C"/>
    <w:rsid w:val="009054FC"/>
    <w:rsid w:val="00906D65"/>
    <w:rsid w:val="009160F1"/>
    <w:rsid w:val="00921DFC"/>
    <w:rsid w:val="00944013"/>
    <w:rsid w:val="00965F02"/>
    <w:rsid w:val="009707C0"/>
    <w:rsid w:val="009957D3"/>
    <w:rsid w:val="009C7B59"/>
    <w:rsid w:val="009D63C9"/>
    <w:rsid w:val="009E236C"/>
    <w:rsid w:val="009F2B70"/>
    <w:rsid w:val="00A25922"/>
    <w:rsid w:val="00A3054B"/>
    <w:rsid w:val="00A55392"/>
    <w:rsid w:val="00A82584"/>
    <w:rsid w:val="00A9194D"/>
    <w:rsid w:val="00A972C3"/>
    <w:rsid w:val="00AA73BA"/>
    <w:rsid w:val="00AB5E59"/>
    <w:rsid w:val="00AF2105"/>
    <w:rsid w:val="00B0376F"/>
    <w:rsid w:val="00B052F1"/>
    <w:rsid w:val="00B13415"/>
    <w:rsid w:val="00B3204A"/>
    <w:rsid w:val="00B378A6"/>
    <w:rsid w:val="00B44D45"/>
    <w:rsid w:val="00B533A4"/>
    <w:rsid w:val="00B56056"/>
    <w:rsid w:val="00B70948"/>
    <w:rsid w:val="00B7217B"/>
    <w:rsid w:val="00B9455A"/>
    <w:rsid w:val="00BA113A"/>
    <w:rsid w:val="00BA62DF"/>
    <w:rsid w:val="00BC505E"/>
    <w:rsid w:val="00BF2AB0"/>
    <w:rsid w:val="00C05A7B"/>
    <w:rsid w:val="00C150DD"/>
    <w:rsid w:val="00C16AD5"/>
    <w:rsid w:val="00C21E6E"/>
    <w:rsid w:val="00C47F1D"/>
    <w:rsid w:val="00C53C8D"/>
    <w:rsid w:val="00C541C6"/>
    <w:rsid w:val="00C60EB7"/>
    <w:rsid w:val="00C658BA"/>
    <w:rsid w:val="00C7316A"/>
    <w:rsid w:val="00C90396"/>
    <w:rsid w:val="00CD5B85"/>
    <w:rsid w:val="00D03C7C"/>
    <w:rsid w:val="00D206E2"/>
    <w:rsid w:val="00D427A0"/>
    <w:rsid w:val="00D7743D"/>
    <w:rsid w:val="00D84990"/>
    <w:rsid w:val="00DC5C59"/>
    <w:rsid w:val="00DC791F"/>
    <w:rsid w:val="00E11EC7"/>
    <w:rsid w:val="00E36F9A"/>
    <w:rsid w:val="00E42FA6"/>
    <w:rsid w:val="00E5398B"/>
    <w:rsid w:val="00EA3E02"/>
    <w:rsid w:val="00EC2E6C"/>
    <w:rsid w:val="00ED35EC"/>
    <w:rsid w:val="00EF3C23"/>
    <w:rsid w:val="00F12D94"/>
    <w:rsid w:val="00F15CCE"/>
    <w:rsid w:val="00F21BAA"/>
    <w:rsid w:val="00F30D91"/>
    <w:rsid w:val="00F34CE5"/>
    <w:rsid w:val="00F6379A"/>
    <w:rsid w:val="00F639FF"/>
    <w:rsid w:val="00F81FB7"/>
    <w:rsid w:val="00FA27AC"/>
    <w:rsid w:val="00FA58B8"/>
    <w:rsid w:val="00FA6639"/>
    <w:rsid w:val="00FB32D0"/>
    <w:rsid w:val="00FC01AD"/>
    <w:rsid w:val="00FD3CE3"/>
    <w:rsid w:val="02C725A4"/>
    <w:rsid w:val="039150E7"/>
    <w:rsid w:val="05822D5F"/>
    <w:rsid w:val="06484BCF"/>
    <w:rsid w:val="0E93150E"/>
    <w:rsid w:val="0FE34DED"/>
    <w:rsid w:val="141F67A6"/>
    <w:rsid w:val="19C708B2"/>
    <w:rsid w:val="19E149A3"/>
    <w:rsid w:val="1A5973C5"/>
    <w:rsid w:val="1AB876CB"/>
    <w:rsid w:val="1FFA6ECD"/>
    <w:rsid w:val="23B627EB"/>
    <w:rsid w:val="2449588A"/>
    <w:rsid w:val="24B6633F"/>
    <w:rsid w:val="2A696D74"/>
    <w:rsid w:val="2BB84D65"/>
    <w:rsid w:val="2D040323"/>
    <w:rsid w:val="2D212C30"/>
    <w:rsid w:val="2E7E5B51"/>
    <w:rsid w:val="315A31D3"/>
    <w:rsid w:val="353A13C8"/>
    <w:rsid w:val="37557970"/>
    <w:rsid w:val="39771032"/>
    <w:rsid w:val="3C033606"/>
    <w:rsid w:val="406A5A99"/>
    <w:rsid w:val="43C6413E"/>
    <w:rsid w:val="461873FD"/>
    <w:rsid w:val="46EF439A"/>
    <w:rsid w:val="47800EBA"/>
    <w:rsid w:val="4D633384"/>
    <w:rsid w:val="4F69483C"/>
    <w:rsid w:val="523D233D"/>
    <w:rsid w:val="524217BD"/>
    <w:rsid w:val="528A7A17"/>
    <w:rsid w:val="53591FF4"/>
    <w:rsid w:val="55CD32FE"/>
    <w:rsid w:val="596D7056"/>
    <w:rsid w:val="5B3E3EF9"/>
    <w:rsid w:val="60036777"/>
    <w:rsid w:val="64DF429C"/>
    <w:rsid w:val="679355CC"/>
    <w:rsid w:val="69B464DB"/>
    <w:rsid w:val="6B0F02FE"/>
    <w:rsid w:val="6BF72BA2"/>
    <w:rsid w:val="6D34773A"/>
    <w:rsid w:val="737E29AD"/>
    <w:rsid w:val="77113E84"/>
    <w:rsid w:val="77603FF2"/>
    <w:rsid w:val="78B017A6"/>
    <w:rsid w:val="7A9B2FB2"/>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3B03C26E-FD81-44C9-8E86-D697AA76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6"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6"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7" w:qFormat="1"/>
    <w:lsdException w:name="FollowedHyperlink" w:semiHidden="1" w:unhideWhenUsed="1"/>
    <w:lsdException w:name="Strong" w:uiPriority="7"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Theme="minorHAnsi" w:eastAsiaTheme="minorHAnsi" w:hAnsiTheme="minorHAnsi" w:cstheme="minorBidi"/>
      <w:sz w:val="22"/>
      <w:szCs w:val="22"/>
    </w:rPr>
  </w:style>
  <w:style w:type="paragraph" w:styleId="Heading1">
    <w:name w:val="heading 1"/>
    <w:basedOn w:val="Normal"/>
    <w:next w:val="Normal"/>
    <w:uiPriority w:val="6"/>
    <w:qFormat/>
    <w:pPr>
      <w:keepNext/>
      <w:numPr>
        <w:numId w:val="1"/>
      </w:numPr>
      <w:spacing w:before="240" w:after="60"/>
      <w:outlineLvl w:val="0"/>
    </w:pPr>
    <w:rPr>
      <w:rFonts w:ascii="Arial" w:hAnsi="Arial" w:cs="Arial"/>
      <w:b/>
      <w:bCs/>
      <w:kern w:val="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Arial"/>
      <w:i/>
      <w:iCs/>
      <w:sz w:val="24"/>
      <w:szCs w:val="24"/>
    </w:rPr>
  </w:style>
  <w:style w:type="paragraph" w:styleId="Footer">
    <w:name w:val="footer"/>
    <w:basedOn w:val="Normal"/>
    <w:uiPriority w:val="99"/>
    <w:unhideWhenUsed/>
    <w:qFormat/>
    <w:pPr>
      <w:tabs>
        <w:tab w:val="center" w:pos="4680"/>
        <w:tab w:val="right" w:pos="9360"/>
      </w:tabs>
    </w:pPr>
  </w:style>
  <w:style w:type="paragraph" w:styleId="FootnoteText">
    <w:name w:val="footnote text"/>
    <w:basedOn w:val="Normal"/>
    <w:uiPriority w:val="6"/>
    <w:qFormat/>
    <w:rPr>
      <w:sz w:val="20"/>
      <w:szCs w:val="20"/>
    </w:rPr>
  </w:style>
  <w:style w:type="paragraph" w:styleId="Header">
    <w:name w:val="header"/>
    <w:basedOn w:val="Normal"/>
    <w:uiPriority w:val="99"/>
    <w:unhideWhenUsed/>
    <w:qFormat/>
    <w:pPr>
      <w:tabs>
        <w:tab w:val="center" w:pos="4680"/>
        <w:tab w:val="right" w:pos="9360"/>
      </w:tabs>
    </w:pPr>
  </w:style>
  <w:style w:type="paragraph" w:styleId="List">
    <w:name w:val="List"/>
    <w:basedOn w:val="BodyText"/>
    <w:qFormat/>
    <w:rPr>
      <w:rFonts w:cs="Arial"/>
    </w:rPr>
  </w:style>
  <w:style w:type="paragraph" w:styleId="NormalWeb">
    <w:name w:val="Normal (Web)"/>
    <w:basedOn w:val="Normal"/>
    <w:uiPriority w:val="99"/>
    <w:qFormat/>
    <w:pPr>
      <w:spacing w:before="280" w:after="280"/>
    </w:pPr>
    <w:rPr>
      <w:color w:val="000000"/>
    </w:rPr>
  </w:style>
  <w:style w:type="character" w:styleId="Emphasis">
    <w:name w:val="Emphasis"/>
    <w:basedOn w:val="DefaultParagraphFont111"/>
    <w:uiPriority w:val="7"/>
    <w:qFormat/>
    <w:rPr>
      <w:i/>
      <w:iCs/>
    </w:rPr>
  </w:style>
  <w:style w:type="character" w:customStyle="1" w:styleId="DefaultParagraphFont111">
    <w:name w:val="Default Paragraph Font111"/>
    <w:uiPriority w:val="6"/>
    <w:qFormat/>
  </w:style>
  <w:style w:type="character" w:styleId="FootnoteReference">
    <w:name w:val="footnote reference"/>
    <w:qFormat/>
    <w:rPr>
      <w:vertAlign w:val="superscript"/>
    </w:rPr>
  </w:style>
  <w:style w:type="character" w:styleId="Hyperlink">
    <w:name w:val="Hyperlink"/>
    <w:basedOn w:val="DefaultParagraphFont"/>
    <w:uiPriority w:val="7"/>
    <w:qFormat/>
    <w:rPr>
      <w:color w:val="0000FF"/>
      <w:u w:val="single"/>
    </w:rPr>
  </w:style>
  <w:style w:type="character" w:styleId="Strong">
    <w:name w:val="Strong"/>
    <w:basedOn w:val="DefaultParagraphFont12"/>
    <w:uiPriority w:val="7"/>
    <w:qFormat/>
    <w:rPr>
      <w:b/>
      <w:sz w:val="24"/>
    </w:rPr>
  </w:style>
  <w:style w:type="character" w:customStyle="1" w:styleId="DefaultParagraphFont12">
    <w:name w:val="Default Paragraph Font12"/>
    <w:uiPriority w:val="6"/>
    <w:qFormat/>
  </w:style>
  <w:style w:type="table" w:styleId="TableGrid">
    <w:name w:val="Table Grid"/>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basedOn w:val="WW-DefaultParagraphFont"/>
    <w:qFormat/>
    <w:rPr>
      <w:vertAlign w:val="superscript"/>
    </w:rPr>
  </w:style>
  <w:style w:type="character" w:customStyle="1" w:styleId="WW-DefaultParagraphFont">
    <w:name w:val="WW-Default Paragraph Font"/>
    <w:uiPriority w:val="2"/>
    <w:qFormat/>
  </w:style>
  <w:style w:type="character" w:customStyle="1" w:styleId="Hyperlink1">
    <w:name w:val="Hyperlink1"/>
    <w:basedOn w:val="DefaultParagraphFont"/>
    <w:uiPriority w:val="99"/>
    <w:unhideWhenUsed/>
    <w:qFormat/>
    <w:rPr>
      <w:color w:val="0563C1" w:themeColor="hyperlink"/>
      <w:u w:val="single"/>
    </w:rPr>
  </w:style>
  <w:style w:type="character" w:customStyle="1" w:styleId="HeaderChar">
    <w:name w:val="Header Char"/>
    <w:basedOn w:val="DefaultParagraphFont"/>
    <w:uiPriority w:val="99"/>
    <w:qFormat/>
  </w:style>
  <w:style w:type="character" w:customStyle="1" w:styleId="FooterChar">
    <w:name w:val="Footer Char"/>
    <w:basedOn w:val="DefaultParagraphFont"/>
    <w:uiPriority w:val="99"/>
    <w:qFormat/>
  </w:style>
  <w:style w:type="character" w:customStyle="1" w:styleId="WW-FootnoteCharacters">
    <w:name w:val="WW-Footnote Characters"/>
    <w:uiPriority w:val="2"/>
    <w:qFormat/>
    <w:rPr>
      <w:vertAlign w:val="superscript"/>
    </w:rPr>
  </w:style>
  <w:style w:type="character" w:customStyle="1" w:styleId="FootnoteReference11">
    <w:name w:val="Footnote Reference11"/>
    <w:uiPriority w:val="6"/>
    <w:qFormat/>
    <w:rPr>
      <w:vertAlign w:val="superscript"/>
    </w:rPr>
  </w:style>
  <w:style w:type="character" w:customStyle="1" w:styleId="FootnoteReference1">
    <w:name w:val="Footnote Reference1"/>
    <w:uiPriority w:val="6"/>
    <w:qFormat/>
    <w:rPr>
      <w:vertAlign w:val="superscript"/>
    </w:rPr>
  </w:style>
  <w:style w:type="character" w:customStyle="1" w:styleId="Strong1">
    <w:name w:val="Strong1"/>
    <w:uiPriority w:val="7"/>
    <w:qFormat/>
    <w:rPr>
      <w:b/>
    </w:rPr>
  </w:style>
  <w:style w:type="character" w:customStyle="1" w:styleId="ln2tcapitol">
    <w:name w:val="ln2tcapitol"/>
    <w:basedOn w:val="WW-DefaultParagraphFont1111"/>
    <w:uiPriority w:val="3"/>
    <w:qFormat/>
  </w:style>
  <w:style w:type="character" w:customStyle="1" w:styleId="WW-DefaultParagraphFont1111">
    <w:name w:val="WW-Default Paragraph Font1111"/>
    <w:uiPriority w:val="2"/>
    <w:qFormat/>
  </w:style>
  <w:style w:type="character" w:customStyle="1" w:styleId="FootnoteReference2">
    <w:name w:val="Footnote Reference2"/>
    <w:basedOn w:val="DefaultParagraphFont111"/>
    <w:uiPriority w:val="6"/>
    <w:qFormat/>
    <w:rPr>
      <w:vertAlign w:val="superscript"/>
    </w:rPr>
  </w:style>
  <w:style w:type="character" w:customStyle="1" w:styleId="Fontdeparagrafimplicit3">
    <w:name w:val="Font de paragraf implicit3"/>
    <w:uiPriority w:val="6"/>
    <w:qFormat/>
  </w:style>
  <w:style w:type="character" w:customStyle="1" w:styleId="ArialChar">
    <w:name w:val="Arial Char"/>
    <w:basedOn w:val="DefaultParagraphFont12"/>
    <w:uiPriority w:val="6"/>
    <w:qFormat/>
    <w:rPr>
      <w:rFonts w:ascii="Arial" w:hAnsi="Arial" w:cs="Arial"/>
      <w:color w:val="000000"/>
      <w:lang w:val="en-US" w:bidi="ar-SA"/>
    </w:rPr>
  </w:style>
  <w:style w:type="character" w:customStyle="1" w:styleId="LegturInternet">
    <w:name w:val="Legătură Internet"/>
    <w:uiPriority w:val="6"/>
    <w:qFormat/>
    <w:rPr>
      <w:color w:val="000000"/>
      <w:u w:val="none"/>
    </w:rPr>
  </w:style>
  <w:style w:type="character" w:customStyle="1" w:styleId="WW-LegturInternet">
    <w:name w:val="WW-Legătură Internet"/>
    <w:uiPriority w:val="2"/>
    <w:qFormat/>
    <w:rPr>
      <w:color w:val="000000"/>
      <w:sz w:val="24"/>
      <w:u w:val="none" w:color="FFFFFF"/>
    </w:rPr>
  </w:style>
  <w:style w:type="character" w:customStyle="1" w:styleId="xc">
    <w:name w:val="xc"/>
    <w:basedOn w:val="DefaultParagraphFont1"/>
    <w:qFormat/>
  </w:style>
  <w:style w:type="character" w:customStyle="1" w:styleId="DefaultParagraphFont1">
    <w:name w:val="Default Paragraph Font1"/>
    <w:uiPriority w:val="6"/>
    <w:qFormat/>
  </w:style>
  <w:style w:type="character" w:customStyle="1" w:styleId="WW-InternetLink">
    <w:name w:val="WW-Internet Link"/>
    <w:uiPriority w:val="2"/>
    <w:qFormat/>
    <w:rPr>
      <w:color w:val="000080"/>
      <w:sz w:val="24"/>
      <w:u w:val="single" w:color="FFFFFF"/>
    </w:rPr>
  </w:style>
  <w:style w:type="character" w:customStyle="1" w:styleId="tli1">
    <w:name w:val="tli1"/>
    <w:qFormat/>
    <w:rPr>
      <w:rFonts w:cs="Times New Roman"/>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customStyle="1" w:styleId="CaracterCaracter">
    <w:name w:val="Caracter Caracter"/>
    <w:basedOn w:val="Normal"/>
    <w:qFormat/>
    <w:rPr>
      <w:rFonts w:ascii="Times New Roman" w:eastAsia="Times New Roman" w:hAnsi="Times New Roman" w:cs="Times New Roman"/>
      <w:sz w:val="24"/>
      <w:szCs w:val="24"/>
      <w:lang w:val="pl-PL" w:eastAsia="pl-PL"/>
    </w:rPr>
  </w:style>
  <w:style w:type="paragraph" w:customStyle="1" w:styleId="FrameContents">
    <w:name w:val="Frame Contents"/>
    <w:basedOn w:val="Normal"/>
    <w:qFormat/>
  </w:style>
  <w:style w:type="paragraph" w:customStyle="1" w:styleId="western">
    <w:name w:val="western"/>
    <w:basedOn w:val="Normal"/>
    <w:uiPriority w:val="7"/>
    <w:qFormat/>
    <w:pPr>
      <w:spacing w:before="280" w:after="115"/>
    </w:pPr>
    <w:rPr>
      <w:color w:val="000000"/>
      <w:lang w:eastAsia="zh-CN"/>
    </w:rPr>
  </w:style>
  <w:style w:type="paragraph" w:customStyle="1" w:styleId="Notdesubsol">
    <w:name w:val="Notă de subsol"/>
    <w:basedOn w:val="Normal"/>
    <w:uiPriority w:val="7"/>
    <w:qFormat/>
    <w:pPr>
      <w:suppressLineNumbers/>
      <w:ind w:left="339" w:hanging="339"/>
    </w:pPr>
    <w:rPr>
      <w:sz w:val="20"/>
      <w:szCs w:val="20"/>
    </w:rPr>
  </w:style>
  <w:style w:type="paragraph" w:customStyle="1" w:styleId="Standard">
    <w:name w:val="Standard"/>
    <w:uiPriority w:val="6"/>
    <w:qFormat/>
    <w:pPr>
      <w:suppressAutoHyphens/>
      <w:jc w:val="both"/>
      <w:textAlignment w:val="baseline"/>
    </w:pPr>
    <w:rPr>
      <w:rFonts w:eastAsia="Times New Roman"/>
      <w:kern w:val="2"/>
      <w:sz w:val="24"/>
      <w:szCs w:val="24"/>
      <w:lang w:val="ro-RO" w:eastAsia="zh-CN"/>
    </w:rPr>
  </w:style>
  <w:style w:type="paragraph" w:customStyle="1" w:styleId="NormalWeb11">
    <w:name w:val="Normal (Web)11"/>
    <w:basedOn w:val="Normal"/>
    <w:uiPriority w:val="7"/>
    <w:qFormat/>
    <w:rPr>
      <w:sz w:val="24"/>
      <w:szCs w:val="24"/>
    </w:rPr>
  </w:style>
  <w:style w:type="paragraph" w:customStyle="1" w:styleId="NormalWeb12">
    <w:name w:val="Normal (Web)12"/>
    <w:uiPriority w:val="7"/>
    <w:qFormat/>
    <w:pPr>
      <w:suppressAutoHyphens/>
      <w:spacing w:before="280" w:after="280"/>
      <w:jc w:val="both"/>
    </w:pPr>
    <w:rPr>
      <w:sz w:val="24"/>
      <w:szCs w:val="24"/>
      <w:lang w:eastAsia="zh-CN"/>
    </w:rPr>
  </w:style>
  <w:style w:type="paragraph" w:customStyle="1" w:styleId="stilparagraf">
    <w:name w:val="stilparagraf"/>
    <w:basedOn w:val="Normal"/>
    <w:uiPriority w:val="6"/>
    <w:qFormat/>
    <w:pPr>
      <w:spacing w:before="280" w:after="280"/>
    </w:pPr>
    <w:rPr>
      <w:rFonts w:ascii="Times New Roman" w:eastAsia="Times New Roman" w:hAnsi="Times New Roman" w:cs="Times New Roman"/>
      <w:sz w:val="24"/>
      <w:szCs w:val="24"/>
    </w:rPr>
  </w:style>
  <w:style w:type="paragraph" w:customStyle="1" w:styleId="stilarticol">
    <w:name w:val="stilarticol"/>
    <w:basedOn w:val="Normal"/>
    <w:qFormat/>
    <w:pPr>
      <w:spacing w:beforeAutospacing="1" w:afterAutospacing="1"/>
    </w:pPr>
  </w:style>
  <w:style w:type="paragraph" w:customStyle="1" w:styleId="CaracterCaracter1">
    <w:name w:val="Caracter Caracter1"/>
    <w:basedOn w:val="Normal"/>
    <w:uiPriority w:val="6"/>
    <w:qFormat/>
    <w:rPr>
      <w:lang w:val="pl-PL"/>
    </w:rPr>
  </w:style>
  <w:style w:type="paragraph" w:customStyle="1" w:styleId="WW-TextBody">
    <w:name w:val="WW-Text Body"/>
    <w:basedOn w:val="Normal"/>
    <w:uiPriority w:val="2"/>
    <w:qFormat/>
    <w:pPr>
      <w:spacing w:after="140" w:line="288" w:lineRule="auto"/>
    </w:pPr>
    <w:rPr>
      <w:sz w:val="24"/>
    </w:rPr>
  </w:style>
  <w:style w:type="paragraph" w:customStyle="1" w:styleId="Normal1">
    <w:name w:val="Normal1"/>
    <w:qFormat/>
    <w:pPr>
      <w:widowControl w:val="0"/>
      <w:suppressAutoHyphens/>
      <w:jc w:val="both"/>
      <w:textAlignment w:val="baseline"/>
    </w:pPr>
    <w:rPr>
      <w:rFonts w:eastAsia="Times New Roman"/>
      <w:color w:val="00000A"/>
      <w:sz w:val="24"/>
      <w:szCs w:val="24"/>
      <w:lang w:eastAsia="zh-CN"/>
    </w:rPr>
  </w:style>
  <w:style w:type="paragraph" w:customStyle="1" w:styleId="Default">
    <w:name w:val="Default"/>
    <w:uiPriority w:val="99"/>
    <w:unhideWhenUsed/>
    <w:qFormat/>
    <w:pPr>
      <w:widowControl w:val="0"/>
      <w:suppressAutoHyphens/>
      <w:jc w:val="both"/>
    </w:pPr>
    <w:rPr>
      <w:rFonts w:ascii="Calibri" w:eastAsia="Calibri" w:hAnsi="Calibri"/>
      <w:color w:val="000000"/>
      <w:sz w:val="24"/>
      <w:lang w:eastAsia="zh-CN" w:bidi="hi-IN"/>
    </w:rPr>
  </w:style>
  <w:style w:type="character" w:customStyle="1" w:styleId="font11">
    <w:name w:val="font11"/>
    <w:rPr>
      <w:rFonts w:ascii="Arial" w:hAnsi="Arial" w:cs="Arial" w:hint="default"/>
      <w:b/>
      <w:color w:val="5F6368"/>
      <w:sz w:val="20"/>
      <w:szCs w:val="20"/>
      <w:u w:val="none"/>
    </w:rPr>
  </w:style>
  <w:style w:type="character" w:customStyle="1" w:styleId="font01">
    <w:name w:val="font01"/>
    <w:qFormat/>
    <w:rPr>
      <w:rFonts w:ascii="Arial" w:hAnsi="Arial" w:cs="Arial" w:hint="default"/>
      <w:color w:val="4D5156"/>
      <w:sz w:val="20"/>
      <w:szCs w:val="20"/>
      <w:u w:val="none"/>
    </w:rPr>
  </w:style>
  <w:style w:type="paragraph" w:styleId="ListParagraph">
    <w:name w:val="List Paragraph"/>
    <w:basedOn w:val="Normal"/>
    <w:uiPriority w:val="34"/>
    <w:qFormat/>
    <w:pPr>
      <w:ind w:left="720"/>
      <w:contextualSpacing/>
    </w:pPr>
    <w:rPr>
      <w:rFonts w:ascii="Calibri" w:eastAsia="Calibri" w:hAnsi="Calibri" w:cs="Times New Roman"/>
    </w:rPr>
  </w:style>
  <w:style w:type="character" w:customStyle="1" w:styleId="BalloonTextChar">
    <w:name w:val="Balloon Text Char"/>
    <w:basedOn w:val="DefaultParagraphFont"/>
    <w:link w:val="BalloonText"/>
    <w:uiPriority w:val="99"/>
    <w:semiHidden/>
    <w:qFormat/>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09700-9405-4ECF-9451-150F756C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2576</Words>
  <Characters>14686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17228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CRISTIAN-NICOLAE MARIN</dc:creator>
  <cp:lastModifiedBy>IONELA GHENCEA</cp:lastModifiedBy>
  <cp:revision>2</cp:revision>
  <cp:lastPrinted>2025-05-20T10:55:00Z</cp:lastPrinted>
  <dcterms:created xsi:type="dcterms:W3CDTF">2025-05-20T11:28:00Z</dcterms:created>
  <dcterms:modified xsi:type="dcterms:W3CDTF">2025-05-20T11:28:00Z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1033-11.2.0.8641</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