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rajan Pro" w:hAnsi="Trajan Pro"/>
          <w:b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-807720</wp:posOffset>
            </wp:positionH>
            <wp:positionV relativeFrom="margin">
              <wp:posOffset>-185420</wp:posOffset>
            </wp:positionV>
            <wp:extent cx="899795" cy="899795"/>
            <wp:effectExtent l="0" t="0" r="0" b="0"/>
            <wp:wrapTight wrapText="bothSides">
              <wp:wrapPolygon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31115</wp:posOffset>
            </wp:positionV>
            <wp:extent cx="194818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194818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</w:rPr>
        <w:t>Agen</w:t>
      </w:r>
      <w:r>
        <w:rPr>
          <w:rFonts w:ascii="Trebuchet MS" w:hAnsi="Trebuchet MS"/>
          <w:b/>
          <w:sz w:val="24"/>
          <w:szCs w:val="24"/>
          <w:lang w:val="ro-RO"/>
        </w:rPr>
        <w:t>ția Națională de Administrare Fiscală</w:t>
      </w:r>
    </w:p>
    <w:p>
      <w:pPr>
        <w:rPr>
          <w:rFonts w:ascii="Trebuchet MS" w:hAnsi="Trebuchet MS" w:cs="Arial"/>
          <w:b/>
          <w:bCs/>
          <w:sz w:val="24"/>
          <w:szCs w:val="24"/>
          <w:lang w:val="pt-BR"/>
        </w:rPr>
      </w:pPr>
      <w:r>
        <w:rPr>
          <w:rFonts w:ascii="Trebuchet MS" w:hAnsi="Trebuchet MS"/>
          <w:b/>
          <w:sz w:val="24"/>
          <w:szCs w:val="24"/>
        </w:rPr>
        <w:t xml:space="preserve"> </w:t>
      </w:r>
    </w:p>
    <w:p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>
      <w:pPr>
        <w:spacing w:after="40" w:line="240" w:lineRule="auto"/>
        <w:rPr>
          <w:rFonts w:ascii="Trebuchet MS" w:hAnsi="Trebuchet MS" w:cs="Arial"/>
          <w:b/>
          <w:bCs/>
          <w:sz w:val="24"/>
          <w:szCs w:val="24"/>
          <w:lang w:val="pt-BR"/>
        </w:rPr>
      </w:pPr>
    </w:p>
    <w:p>
      <w:pPr>
        <w:jc w:val="center"/>
        <w:rPr>
          <w:rFonts w:hint="default" w:ascii="Trebuchet MS" w:hAnsi="Trebuchet MS" w:cs="Arial"/>
          <w:bCs/>
          <w:sz w:val="24"/>
          <w:szCs w:val="24"/>
          <w:lang w:val="en-US" w:eastAsia="en-US"/>
        </w:rPr>
      </w:pP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pt-BR" w:eastAsia="en-US" w:bidi="ar-SA"/>
        </w:rPr>
        <w:t>Referat</w:t>
      </w:r>
      <w:r>
        <w:rPr>
          <w:rFonts w:hint="default" w:ascii="Trebuchet MS" w:hAnsi="Trebuchet MS" w:cs="Arial"/>
          <w:b/>
          <w:bCs/>
          <w:i/>
          <w:iCs/>
          <w:color w:val="000000"/>
          <w:kern w:val="0"/>
          <w:sz w:val="24"/>
          <w:szCs w:val="24"/>
          <w:u w:val="none"/>
          <w:lang w:val="en-US" w:eastAsia="en-US" w:bidi="ar-SA"/>
        </w:rPr>
        <w:t xml:space="preserve"> de aprobare 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17" w:leftChars="0" w:hanging="17" w:hangingChars="7"/>
        <w:jc w:val="both"/>
        <w:textAlignment w:val="auto"/>
        <w:outlineLvl w:val="9"/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ro-RO" w:eastAsia="en-US" w:bidi="ar-SA"/>
        </w:rPr>
      </w:pP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pt-BR" w:eastAsia="en-US" w:bidi="ar-SA"/>
        </w:rPr>
        <w:t xml:space="preserve"> </w:t>
      </w:r>
      <w:r>
        <w:rPr>
          <w:rFonts w:hint="default" w:ascii="Trebuchet MS" w:hAnsi="Trebuchet MS" w:cs="Arial"/>
          <w:b/>
          <w:bCs/>
          <w:i/>
          <w:iCs/>
          <w:color w:val="000000"/>
          <w:kern w:val="0"/>
          <w:sz w:val="24"/>
          <w:szCs w:val="24"/>
          <w:u w:val="none"/>
          <w:lang w:val="en-US" w:eastAsia="en-US" w:bidi="ar-SA"/>
        </w:rPr>
        <w:t xml:space="preserve">a </w:t>
      </w: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pt-BR" w:eastAsia="en-US" w:bidi="ar-SA"/>
        </w:rPr>
        <w:t>proiect</w:t>
      </w:r>
      <w:r>
        <w:rPr>
          <w:rFonts w:hint="default" w:ascii="Trebuchet MS" w:hAnsi="Trebuchet MS" w:cs="Arial"/>
          <w:b/>
          <w:bCs/>
          <w:i/>
          <w:iCs/>
          <w:color w:val="000000"/>
          <w:kern w:val="0"/>
          <w:sz w:val="24"/>
          <w:szCs w:val="24"/>
          <w:u w:val="none"/>
          <w:lang w:val="en-US" w:eastAsia="en-US" w:bidi="ar-SA"/>
        </w:rPr>
        <w:t>ului</w:t>
      </w: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pt-BR" w:eastAsia="en-US" w:bidi="ar-SA"/>
        </w:rPr>
        <w:t xml:space="preserve"> ordin </w:t>
      </w:r>
      <w:r>
        <w:rPr>
          <w:rFonts w:hint="default" w:ascii="Trebuchet MS" w:hAnsi="Trebuchet MS" w:cs="Arial"/>
          <w:b/>
          <w:bCs/>
          <w:i/>
          <w:iCs/>
          <w:color w:val="000000"/>
          <w:kern w:val="0"/>
          <w:sz w:val="24"/>
          <w:szCs w:val="24"/>
          <w:u w:val="none"/>
          <w:lang w:val="ro-RO" w:eastAsia="en-US" w:bidi="ar-SA"/>
        </w:rPr>
        <w:t xml:space="preserve">privind modificarea și </w:t>
      </w: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ro-RO" w:eastAsia="en-US" w:bidi="ar-SA"/>
        </w:rPr>
        <w:t>completarea Ordinului președintelui Agenției Naționale de Administrare Fiscală nr.587/2016 pentru aprobarea modelului şi conţinutului formularelor utilizate pentru declararea impozitelor şi taxelor</w:t>
      </w:r>
      <w:r>
        <w:rPr>
          <w:rFonts w:hint="default" w:ascii="Trebuchet MS" w:hAnsi="Trebuchet MS" w:cs="Arial"/>
          <w:b/>
          <w:bCs/>
          <w:i/>
          <w:iCs/>
          <w:color w:val="000000"/>
          <w:kern w:val="0"/>
          <w:sz w:val="24"/>
          <w:szCs w:val="24"/>
          <w:u w:val="none"/>
          <w:lang w:val="en-US" w:eastAsia="en-US" w:bidi="ar-SA"/>
        </w:rPr>
        <w:t xml:space="preserve"> </w:t>
      </w:r>
      <w:r>
        <w:rPr>
          <w:rFonts w:hint="default" w:ascii="Trebuchet MS" w:hAnsi="Trebuchet MS" w:eastAsia="Calibri" w:cs="Arial"/>
          <w:b/>
          <w:bCs/>
          <w:i/>
          <w:iCs/>
          <w:color w:val="000000"/>
          <w:kern w:val="0"/>
          <w:sz w:val="24"/>
          <w:szCs w:val="24"/>
          <w:u w:val="none"/>
          <w:lang w:val="ro-RO" w:eastAsia="en-US" w:bidi="ar-SA"/>
        </w:rPr>
        <w:t xml:space="preserve"> cu regim de stabilire prin autoimpunere sau reţinere la sursă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textAlignment w:val="auto"/>
        <w:outlineLvl w:val="9"/>
        <w:rPr>
          <w:rFonts w:ascii="Trebuchet MS" w:hAnsi="Trebuchet MS" w:cs="Arial"/>
          <w:color w:val="000000"/>
          <w:kern w:val="0"/>
          <w:sz w:val="24"/>
          <w:szCs w:val="24"/>
          <w:lang w:val="ro-RO" w:eastAsia="en-US"/>
        </w:rPr>
      </w:pPr>
    </w:p>
    <w:p>
      <w:pPr>
        <w:suppressAutoHyphens/>
        <w:spacing w:before="240" w:line="240" w:lineRule="auto"/>
        <w:jc w:val="both"/>
        <w:rPr>
          <w:rFonts w:ascii="Times New Roman CE" w:hAnsi="Times New Roman CE" w:eastAsia="Times New Roman CE"/>
          <w:sz w:val="28"/>
          <w:szCs w:val="24"/>
        </w:rPr>
      </w:pPr>
      <w:bookmarkStart w:id="0" w:name="_GoBack"/>
      <w:bookmarkEnd w:id="0"/>
      <w:r>
        <w:rPr>
          <w:rFonts w:hint="default" w:ascii="Trebuchet MS" w:hAnsi="Trebuchet MS" w:cs="Trebuchet MS"/>
          <w:sz w:val="24"/>
          <w:szCs w:val="24"/>
          <w:lang w:val="ro-RO"/>
        </w:rPr>
        <w:t>P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rin Ordonanța de urgență a Guvernului nr.156/31.12.2024 </w:t>
      </w:r>
      <w:r>
        <w:rPr>
          <w:rFonts w:ascii="Trebuchet MS" w:hAnsi="Trebuchet MS" w:cs="Trebuchet MS"/>
          <w:sz w:val="24"/>
          <w:szCs w:val="24"/>
        </w:rPr>
        <w:t xml:space="preserve">a fost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modificată și completată Legea nr.227/2015 privind Codul fiscal.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Prin acest act normativ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a fost reglementată obligația de a calcula, declara şi plăti impozitul </w:t>
      </w:r>
      <w:r>
        <w:rPr>
          <w:rFonts w:ascii="Trebuchet MS" w:hAnsi="Trebuchet MS" w:eastAsia="Times New Roman" w:cs="Trebuchet MS"/>
          <w:sz w:val="24"/>
          <w:szCs w:val="24"/>
          <w:lang w:val="ro-RO"/>
        </w:rPr>
        <w:t>pe construcții</w:t>
      </w:r>
      <w:r>
        <w:rPr>
          <w:rFonts w:hint="default" w:ascii="Trebuchet MS" w:hAnsi="Trebuchet MS" w:eastAsia="Times New Roman" w:cs="Trebuchet MS"/>
          <w:sz w:val="24"/>
          <w:szCs w:val="24"/>
          <w:lang w:val="ro-RO"/>
        </w:rPr>
        <w:t>,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eastAsia="Times New Roman CE" w:cs="Trebuchet MS"/>
          <w:sz w:val="24"/>
          <w:szCs w:val="24"/>
        </w:rPr>
        <w:t>începând cu data de 1 ianuarie 2025.</w:t>
      </w:r>
    </w:p>
    <w:p>
      <w:pPr>
        <w:suppressAutoHyphens/>
        <w:spacing w:before="240" w:line="240" w:lineRule="auto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Ordonanța de urgență a Guvernului nr.21/03.04.2025 </w:t>
      </w:r>
      <w:r>
        <w:rPr>
          <w:rFonts w:hint="default" w:ascii="Trebuchet MS" w:hAnsi="Trebuchet MS" w:eastAsia="Times New Roman CE" w:cs="Trebuchet MS"/>
          <w:sz w:val="24"/>
          <w:szCs w:val="24"/>
          <w:lang w:val="en-US"/>
        </w:rPr>
        <w:t>pentru modificarea şi completar</w:t>
      </w:r>
      <w:r>
        <w:rPr>
          <w:rFonts w:hint="default" w:ascii="Trebuchet MS" w:hAnsi="Trebuchet MS" w:eastAsia="Times New Roman CE" w:cs="Trebuchet MS"/>
          <w:color w:val="auto"/>
          <w:sz w:val="24"/>
          <w:szCs w:val="24"/>
          <w:u w:val="none"/>
          <w:lang w:val="en-US"/>
        </w:rPr>
        <w:t>ea titlului X din Leg</w:t>
      </w:r>
      <w:r>
        <w:rPr>
          <w:rFonts w:hint="default" w:ascii="Trebuchet MS" w:hAnsi="Trebuchet MS" w:eastAsia="Times New Roman CE" w:cs="Trebuchet MS"/>
          <w:color w:val="auto"/>
          <w:sz w:val="24"/>
          <w:szCs w:val="24"/>
          <w:lang w:val="en-US"/>
        </w:rPr>
        <w:t>ea nr. 227/2015 privind Codul fiscal, precum şi pentru modificarea şi completarea unor acte normative</w:t>
      </w:r>
      <w:r>
        <w:rPr>
          <w:rFonts w:hint="default" w:ascii="Trebuchet MS" w:hAnsi="Trebuchet MS" w:cs="Trebuchet MS"/>
          <w:sz w:val="24"/>
          <w:szCs w:val="24"/>
          <w:lang w:val="ro-RO"/>
        </w:rPr>
        <w:t>, a adus noi modificări cu privire la impozitul pe construcții, referitoare la:</w:t>
      </w:r>
    </w:p>
    <w:p>
      <w:pPr>
        <w:suppressAutoHyphens/>
        <w:spacing w:before="240" w:line="240" w:lineRule="auto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- contribuabilii care intră sub incidenţa art.16 alin.(5) din Codul fiscal, în cazul cărora declararea impozitului pe construcţii se efectuează până la data de 25 inclusiv a lunii a cincea a anului fiscal modificat pentru care se datorează impozitul;</w:t>
      </w:r>
    </w:p>
    <w:p>
      <w:pPr>
        <w:suppressAutoHyphens/>
        <w:spacing w:before="240" w:line="240" w:lineRule="auto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- acordarea unei bonificații de 10% din valoarea impozitului pentru contribuabilii care declară şi plătesc anticipat impozitul anual pe construcţii până la data de 25 mai inclusiv a anului pentru care se datorează impozitul, respectiv până la data de 25 inclusiv a lunii a cincea a anului fiscal modificat pentru care se datorează impozitul (art.499 alin.(4^1) din Legea nr.227/2015 privind Codul fiscal, cu modificările și completările ulterioare).</w:t>
      </w:r>
    </w:p>
    <w:p>
      <w:p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</w:rPr>
        <w:t>Av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ând în vedere dispozițiile legale mai sus menționate, </w:t>
      </w:r>
      <w:r>
        <w:rPr>
          <w:rFonts w:ascii="Trebuchet MS" w:hAnsi="Trebuchet MS" w:cs="Trebuchet MS"/>
          <w:sz w:val="24"/>
          <w:szCs w:val="24"/>
        </w:rPr>
        <w:t>prin prezentul proiect de ordin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se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propune modificarea și completarea Ordinul</w:t>
      </w:r>
      <w:r>
        <w:rPr>
          <w:rFonts w:ascii="Trebuchet MS" w:hAnsi="Trebuchet MS" w:cs="Trebuchet MS"/>
          <w:sz w:val="24"/>
          <w:szCs w:val="24"/>
        </w:rPr>
        <w:t>ui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preşedintelui Agenţiei Naţionale de Administrare Fiscală nr.587/2016, după cum urmează:</w:t>
      </w:r>
    </w:p>
    <w:p>
      <w:pPr>
        <w:numPr>
          <w:ilvl w:val="0"/>
          <w:numId w:val="1"/>
        </w:num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completarea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modelului și conținutului formularelor 100 „Declarație privind </w:t>
      </w:r>
      <w:r>
        <w:rPr>
          <w:rFonts w:ascii="Trebuchet MS" w:hAnsi="Trebuchet MS" w:cs="Trebuchet MS"/>
          <w:sz w:val="24"/>
          <w:szCs w:val="24"/>
          <w:lang w:val="ro-RO"/>
        </w:rPr>
        <w:t>obligațiil</w:t>
      </w:r>
      <w:r>
        <w:rPr>
          <w:rFonts w:hint="default" w:ascii="Trebuchet MS" w:hAnsi="Trebuchet MS" w:cs="Trebuchet MS"/>
          <w:sz w:val="24"/>
          <w:szCs w:val="24"/>
          <w:lang w:val="ro-RO"/>
        </w:rPr>
        <w:t>e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de plată la bugetul de stat”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ș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i 710 "Declaraţie rectificativă",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în vederea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evidențierii bonificației acordate în condițiile prevăzute la art.499 alin.(4^1) din Codul fiscal. </w:t>
      </w:r>
    </w:p>
    <w:p>
      <w:p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b) modificarea corespunzătoare a instrucțiunilor de completare a formularului 100.</w:t>
      </w: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sectPr>
      <w:headerReference r:id="rId5" w:type="default"/>
      <w:footerReference r:id="rId6" w:type="default"/>
      <w:pgSz w:w="11906" w:h="16838"/>
      <w:pgMar w:top="611" w:right="836" w:bottom="1152" w:left="1890" w:header="0" w:footer="480" w:gutter="0"/>
      <w:pgNumType w:start="1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default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Times New Roman CE">
    <w:altName w:val="Times New Roman"/>
    <w:panose1 w:val="02020603050405020304"/>
    <w:charset w:val="EE"/>
    <w:family w:val="auto"/>
    <w:pitch w:val="default"/>
    <w:sig w:usb0="00000000" w:usb1="00000000" w:usb2="00000000" w:usb3="00000000" w:csb0="00000002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0922496"/>
    </w:sdtPr>
    <w:sdtContent>
      <w:p>
        <w:pPr>
          <w:pStyle w:val="7"/>
        </w:pPr>
      </w:p>
      <w:p>
        <w:pPr>
          <w:pStyle w:val="7"/>
          <w:rPr>
            <w:rFonts w:ascii="Trebuchet MS" w:hAnsi="Trebuchet MS"/>
          </w:rPr>
        </w:pPr>
        <w:r>
          <w:rPr>
            <w:rFonts w:ascii="Trebuchet MS" w:hAnsi="Trebuchet MS" w:eastAsia="Franklin Gothic Demi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>
        <w:pPr>
          <w:pStyle w:val="7"/>
          <w:jc w:val="center"/>
        </w:pPr>
        <w: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ragraph">
                    <wp:posOffset>0</wp:posOffset>
                  </wp:positionV>
                  <wp:extent cx="1828800" cy="1828800"/>
                  <wp:effectExtent l="0" t="0" r="0" b="0"/>
                  <wp:wrapNone/>
                  <wp:docPr id="3" name="Text Box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7"/>
                                <w:jc w:val="right"/>
                                <w:rPr>
                                  <w:lang w:val="ro-RO"/>
                                </w:rPr>
                              </w:pPr>
                              <w:r>
                                <w:t>Page</w:t>
                              </w:r>
                              <w:r>
                                <w:rPr>
                                  <w:lang w:val="ro-RO"/>
                                </w:rPr>
                                <w:t xml:space="preserve"> 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instrText xml:space="preserve">PAGE</w:instrTex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bCs/>
                                  <w:sz w:val="24"/>
                                  <w:szCs w:val="24"/>
                                  <w:lang w:val="ro-RO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IiuUhIbAgAAVAQAAA4A&#10;AAAAAAAAAQAgAAAAHwEAAGRycy9lMm9Eb2MueG1sUEsFBgAAAAAGAAYAWQEAAKwFAAAAAA==&#10;">
                  <v:fill on="f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pStyle w:val="7"/>
                          <w:jc w:val="right"/>
                          <w:rPr>
                            <w:lang w:val="ro-RO"/>
                          </w:rPr>
                        </w:pPr>
                        <w:r>
                          <w:t>Page</w:t>
                        </w:r>
                        <w:r>
                          <w:rPr>
                            <w:lang w:val="ro-RO"/>
                          </w:rPr>
                          <w:t xml:space="preserve"> 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instrText xml:space="preserve">PAGE</w:instrTex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Cs/>
                            <w:sz w:val="24"/>
                            <w:szCs w:val="24"/>
                            <w:lang w:val="ro-RO"/>
                          </w:rPr>
                          <w:t>2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7AF23"/>
    <w:multiLevelType w:val="singleLevel"/>
    <w:tmpl w:val="AB27AF23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140C3"/>
    <w:rsid w:val="00172A27"/>
    <w:rsid w:val="002B1AC3"/>
    <w:rsid w:val="00651F17"/>
    <w:rsid w:val="00884FA5"/>
    <w:rsid w:val="00B256B8"/>
    <w:rsid w:val="00E823AC"/>
    <w:rsid w:val="010D689D"/>
    <w:rsid w:val="015E1929"/>
    <w:rsid w:val="01903213"/>
    <w:rsid w:val="019A4A79"/>
    <w:rsid w:val="01A71C06"/>
    <w:rsid w:val="01DF40E7"/>
    <w:rsid w:val="03847740"/>
    <w:rsid w:val="03E97E9E"/>
    <w:rsid w:val="04241C81"/>
    <w:rsid w:val="04A63606"/>
    <w:rsid w:val="0619362C"/>
    <w:rsid w:val="0637747B"/>
    <w:rsid w:val="066F1682"/>
    <w:rsid w:val="06961DF8"/>
    <w:rsid w:val="06A85C60"/>
    <w:rsid w:val="07AA40B4"/>
    <w:rsid w:val="07E3589F"/>
    <w:rsid w:val="08A51A8F"/>
    <w:rsid w:val="08CA08ED"/>
    <w:rsid w:val="09065C88"/>
    <w:rsid w:val="092D47B0"/>
    <w:rsid w:val="097D6DEE"/>
    <w:rsid w:val="09F32A10"/>
    <w:rsid w:val="0AE135B3"/>
    <w:rsid w:val="0BB56DA3"/>
    <w:rsid w:val="0BBB4165"/>
    <w:rsid w:val="0C5D5DF4"/>
    <w:rsid w:val="0D2A6A66"/>
    <w:rsid w:val="0D6B0662"/>
    <w:rsid w:val="0D6B69FE"/>
    <w:rsid w:val="0D80308D"/>
    <w:rsid w:val="0E35417C"/>
    <w:rsid w:val="0E4621BF"/>
    <w:rsid w:val="0E5E783B"/>
    <w:rsid w:val="0F147F3A"/>
    <w:rsid w:val="0F6517C5"/>
    <w:rsid w:val="100E1D4F"/>
    <w:rsid w:val="10321DEF"/>
    <w:rsid w:val="11074E10"/>
    <w:rsid w:val="11BC107F"/>
    <w:rsid w:val="11ED1206"/>
    <w:rsid w:val="127706F9"/>
    <w:rsid w:val="127F3D38"/>
    <w:rsid w:val="1288248F"/>
    <w:rsid w:val="13746661"/>
    <w:rsid w:val="13CA7523"/>
    <w:rsid w:val="13D37980"/>
    <w:rsid w:val="13FE15EF"/>
    <w:rsid w:val="14F27C94"/>
    <w:rsid w:val="15B4715C"/>
    <w:rsid w:val="15FE5955"/>
    <w:rsid w:val="16065D3E"/>
    <w:rsid w:val="167032CF"/>
    <w:rsid w:val="16A57CC5"/>
    <w:rsid w:val="17261545"/>
    <w:rsid w:val="17A8793E"/>
    <w:rsid w:val="182F1DA3"/>
    <w:rsid w:val="188E4975"/>
    <w:rsid w:val="18B600EE"/>
    <w:rsid w:val="18F561A4"/>
    <w:rsid w:val="19C33EFC"/>
    <w:rsid w:val="19E53D94"/>
    <w:rsid w:val="1A627B75"/>
    <w:rsid w:val="1A6C15A3"/>
    <w:rsid w:val="1A9628E6"/>
    <w:rsid w:val="1AAA6D22"/>
    <w:rsid w:val="1AC2186C"/>
    <w:rsid w:val="1B862B64"/>
    <w:rsid w:val="1C7602B9"/>
    <w:rsid w:val="1D566B09"/>
    <w:rsid w:val="1DF32AE0"/>
    <w:rsid w:val="1E731CB1"/>
    <w:rsid w:val="1EB43949"/>
    <w:rsid w:val="1EE025BF"/>
    <w:rsid w:val="1F4F17B1"/>
    <w:rsid w:val="1FD42C9E"/>
    <w:rsid w:val="1FE20CAC"/>
    <w:rsid w:val="1FEF1940"/>
    <w:rsid w:val="20A6733F"/>
    <w:rsid w:val="21076A9B"/>
    <w:rsid w:val="2165588D"/>
    <w:rsid w:val="21F0506C"/>
    <w:rsid w:val="2246081C"/>
    <w:rsid w:val="22463E76"/>
    <w:rsid w:val="230F6D54"/>
    <w:rsid w:val="23161D95"/>
    <w:rsid w:val="234D1726"/>
    <w:rsid w:val="238F2F00"/>
    <w:rsid w:val="23D43BB4"/>
    <w:rsid w:val="23D53F7D"/>
    <w:rsid w:val="23D91C40"/>
    <w:rsid w:val="240F7DB2"/>
    <w:rsid w:val="24B42108"/>
    <w:rsid w:val="24CD6D8A"/>
    <w:rsid w:val="25511DAA"/>
    <w:rsid w:val="25570938"/>
    <w:rsid w:val="257537F8"/>
    <w:rsid w:val="25945DA4"/>
    <w:rsid w:val="25CC719C"/>
    <w:rsid w:val="25EA33DB"/>
    <w:rsid w:val="25EE4103"/>
    <w:rsid w:val="264B706C"/>
    <w:rsid w:val="264E4147"/>
    <w:rsid w:val="26AB05CB"/>
    <w:rsid w:val="26D36419"/>
    <w:rsid w:val="271B4883"/>
    <w:rsid w:val="2721571A"/>
    <w:rsid w:val="275C769D"/>
    <w:rsid w:val="277724F8"/>
    <w:rsid w:val="27B331B7"/>
    <w:rsid w:val="27B72239"/>
    <w:rsid w:val="283468B0"/>
    <w:rsid w:val="28A36690"/>
    <w:rsid w:val="28AB3081"/>
    <w:rsid w:val="28C8250F"/>
    <w:rsid w:val="28E30A91"/>
    <w:rsid w:val="2A43397A"/>
    <w:rsid w:val="2A9C30DA"/>
    <w:rsid w:val="2AA40674"/>
    <w:rsid w:val="2AC6509D"/>
    <w:rsid w:val="2B156E10"/>
    <w:rsid w:val="2B8D7B0C"/>
    <w:rsid w:val="2C372166"/>
    <w:rsid w:val="2C6B6E84"/>
    <w:rsid w:val="2C725643"/>
    <w:rsid w:val="2D9E5898"/>
    <w:rsid w:val="2DD942D8"/>
    <w:rsid w:val="2DDA56D7"/>
    <w:rsid w:val="2DDC0F11"/>
    <w:rsid w:val="2E0C3A16"/>
    <w:rsid w:val="2E3F4230"/>
    <w:rsid w:val="2ED04F66"/>
    <w:rsid w:val="2F1271DD"/>
    <w:rsid w:val="2F207C1B"/>
    <w:rsid w:val="2FA772B8"/>
    <w:rsid w:val="2FAD2427"/>
    <w:rsid w:val="2FB63537"/>
    <w:rsid w:val="2FC260DA"/>
    <w:rsid w:val="2FC725D3"/>
    <w:rsid w:val="2FCC4ED1"/>
    <w:rsid w:val="30052281"/>
    <w:rsid w:val="301A3290"/>
    <w:rsid w:val="3061271D"/>
    <w:rsid w:val="309C64D5"/>
    <w:rsid w:val="310C7F1D"/>
    <w:rsid w:val="32355210"/>
    <w:rsid w:val="32562C36"/>
    <w:rsid w:val="32810F93"/>
    <w:rsid w:val="329D53F6"/>
    <w:rsid w:val="32AE70BE"/>
    <w:rsid w:val="33D80771"/>
    <w:rsid w:val="340D063A"/>
    <w:rsid w:val="349F1C25"/>
    <w:rsid w:val="34D92DC4"/>
    <w:rsid w:val="352E4932"/>
    <w:rsid w:val="359411A1"/>
    <w:rsid w:val="35B848DE"/>
    <w:rsid w:val="35BF0C09"/>
    <w:rsid w:val="368318F0"/>
    <w:rsid w:val="388E3564"/>
    <w:rsid w:val="38D9077C"/>
    <w:rsid w:val="39576CC5"/>
    <w:rsid w:val="39880C7D"/>
    <w:rsid w:val="3A527327"/>
    <w:rsid w:val="3A962C91"/>
    <w:rsid w:val="3AAC37B2"/>
    <w:rsid w:val="3AC3111A"/>
    <w:rsid w:val="3BF57816"/>
    <w:rsid w:val="3C3A54B5"/>
    <w:rsid w:val="3D441948"/>
    <w:rsid w:val="3D4C5F94"/>
    <w:rsid w:val="3E1B43B6"/>
    <w:rsid w:val="3ED91810"/>
    <w:rsid w:val="3EEF54C7"/>
    <w:rsid w:val="3F512C43"/>
    <w:rsid w:val="3FCF6241"/>
    <w:rsid w:val="3FE522A3"/>
    <w:rsid w:val="400C0D2C"/>
    <w:rsid w:val="40505D61"/>
    <w:rsid w:val="406801AF"/>
    <w:rsid w:val="40720927"/>
    <w:rsid w:val="40854722"/>
    <w:rsid w:val="40EF7456"/>
    <w:rsid w:val="41473C19"/>
    <w:rsid w:val="41CB7ECC"/>
    <w:rsid w:val="41F11862"/>
    <w:rsid w:val="424B5FEB"/>
    <w:rsid w:val="43367E1F"/>
    <w:rsid w:val="4357717C"/>
    <w:rsid w:val="43BE6DFB"/>
    <w:rsid w:val="44943B95"/>
    <w:rsid w:val="44985BC6"/>
    <w:rsid w:val="45B130A9"/>
    <w:rsid w:val="46843F95"/>
    <w:rsid w:val="46D26D0D"/>
    <w:rsid w:val="46D87E78"/>
    <w:rsid w:val="470831F3"/>
    <w:rsid w:val="47521D22"/>
    <w:rsid w:val="477521A4"/>
    <w:rsid w:val="47A42FD5"/>
    <w:rsid w:val="47A83E32"/>
    <w:rsid w:val="47B40AF4"/>
    <w:rsid w:val="48CD3843"/>
    <w:rsid w:val="48F117F7"/>
    <w:rsid w:val="492E619F"/>
    <w:rsid w:val="49C063B1"/>
    <w:rsid w:val="4A217098"/>
    <w:rsid w:val="4A8063A5"/>
    <w:rsid w:val="4AA42767"/>
    <w:rsid w:val="4AF02F3B"/>
    <w:rsid w:val="4B6C7AEC"/>
    <w:rsid w:val="4B9A4D59"/>
    <w:rsid w:val="4C2B07B0"/>
    <w:rsid w:val="4C682C1F"/>
    <w:rsid w:val="4D090EF8"/>
    <w:rsid w:val="4D951D26"/>
    <w:rsid w:val="4E101F7B"/>
    <w:rsid w:val="4F2D3015"/>
    <w:rsid w:val="4F44363C"/>
    <w:rsid w:val="5044617C"/>
    <w:rsid w:val="507D0823"/>
    <w:rsid w:val="50DA4426"/>
    <w:rsid w:val="52030EA6"/>
    <w:rsid w:val="523B4546"/>
    <w:rsid w:val="52AB44F8"/>
    <w:rsid w:val="5447048D"/>
    <w:rsid w:val="548C45D3"/>
    <w:rsid w:val="54F860E9"/>
    <w:rsid w:val="554B007E"/>
    <w:rsid w:val="55B73944"/>
    <w:rsid w:val="55E36DDD"/>
    <w:rsid w:val="566576FF"/>
    <w:rsid w:val="572977FE"/>
    <w:rsid w:val="57966413"/>
    <w:rsid w:val="583C5F5D"/>
    <w:rsid w:val="585E3942"/>
    <w:rsid w:val="58620170"/>
    <w:rsid w:val="590D4433"/>
    <w:rsid w:val="592F1EDD"/>
    <w:rsid w:val="593A5AB0"/>
    <w:rsid w:val="596F5803"/>
    <w:rsid w:val="597B5319"/>
    <w:rsid w:val="59D033B8"/>
    <w:rsid w:val="59DB3ADF"/>
    <w:rsid w:val="5A0065A6"/>
    <w:rsid w:val="5A86381C"/>
    <w:rsid w:val="5AEB7EBF"/>
    <w:rsid w:val="5B6656CF"/>
    <w:rsid w:val="5C3A6F70"/>
    <w:rsid w:val="5CCE3197"/>
    <w:rsid w:val="5D2D2508"/>
    <w:rsid w:val="5DAD134F"/>
    <w:rsid w:val="5DE07592"/>
    <w:rsid w:val="5E186200"/>
    <w:rsid w:val="5E265155"/>
    <w:rsid w:val="5E3B4BF6"/>
    <w:rsid w:val="5F4B02A7"/>
    <w:rsid w:val="5FE4608A"/>
    <w:rsid w:val="604227C3"/>
    <w:rsid w:val="60722B1C"/>
    <w:rsid w:val="609D0C81"/>
    <w:rsid w:val="60DE4C9F"/>
    <w:rsid w:val="61825AB5"/>
    <w:rsid w:val="619407AB"/>
    <w:rsid w:val="625817B7"/>
    <w:rsid w:val="62693F6B"/>
    <w:rsid w:val="62700D45"/>
    <w:rsid w:val="62916B8D"/>
    <w:rsid w:val="634E2533"/>
    <w:rsid w:val="638D7383"/>
    <w:rsid w:val="63AF2E65"/>
    <w:rsid w:val="63EB54CA"/>
    <w:rsid w:val="64053EC6"/>
    <w:rsid w:val="6416550D"/>
    <w:rsid w:val="65A1489C"/>
    <w:rsid w:val="66A772B7"/>
    <w:rsid w:val="673D46AD"/>
    <w:rsid w:val="67571051"/>
    <w:rsid w:val="681D6B19"/>
    <w:rsid w:val="692A0601"/>
    <w:rsid w:val="69524B00"/>
    <w:rsid w:val="69757766"/>
    <w:rsid w:val="699278A6"/>
    <w:rsid w:val="69B533A3"/>
    <w:rsid w:val="69F33129"/>
    <w:rsid w:val="6A5F0A39"/>
    <w:rsid w:val="6AD0429B"/>
    <w:rsid w:val="6B220BAD"/>
    <w:rsid w:val="6B3174FC"/>
    <w:rsid w:val="6B4068C6"/>
    <w:rsid w:val="6B904035"/>
    <w:rsid w:val="6BC53131"/>
    <w:rsid w:val="6BCF63E8"/>
    <w:rsid w:val="6C1163B3"/>
    <w:rsid w:val="6CEB0359"/>
    <w:rsid w:val="6D4C7896"/>
    <w:rsid w:val="6D7069B2"/>
    <w:rsid w:val="6E0154E6"/>
    <w:rsid w:val="6E873DAF"/>
    <w:rsid w:val="6ECF2631"/>
    <w:rsid w:val="6EE02460"/>
    <w:rsid w:val="6F671721"/>
    <w:rsid w:val="6FFC6AEF"/>
    <w:rsid w:val="707B70D2"/>
    <w:rsid w:val="70DB36AD"/>
    <w:rsid w:val="70F43070"/>
    <w:rsid w:val="7111646C"/>
    <w:rsid w:val="71207954"/>
    <w:rsid w:val="71217A08"/>
    <w:rsid w:val="71231F88"/>
    <w:rsid w:val="71C51C09"/>
    <w:rsid w:val="71C73228"/>
    <w:rsid w:val="720D2C66"/>
    <w:rsid w:val="7240115C"/>
    <w:rsid w:val="72AC372A"/>
    <w:rsid w:val="72BE15EB"/>
    <w:rsid w:val="72D955E1"/>
    <w:rsid w:val="72DB36FD"/>
    <w:rsid w:val="73AD7D52"/>
    <w:rsid w:val="73BD62B1"/>
    <w:rsid w:val="73E770EB"/>
    <w:rsid w:val="74136E9C"/>
    <w:rsid w:val="74FE7628"/>
    <w:rsid w:val="751245D1"/>
    <w:rsid w:val="75751BB4"/>
    <w:rsid w:val="761E5F53"/>
    <w:rsid w:val="764C225F"/>
    <w:rsid w:val="768F2505"/>
    <w:rsid w:val="76B74344"/>
    <w:rsid w:val="76F20BD7"/>
    <w:rsid w:val="77160DC2"/>
    <w:rsid w:val="775641DE"/>
    <w:rsid w:val="77A729B4"/>
    <w:rsid w:val="77ED47CF"/>
    <w:rsid w:val="77F659A7"/>
    <w:rsid w:val="78203FB3"/>
    <w:rsid w:val="78470C59"/>
    <w:rsid w:val="78E46319"/>
    <w:rsid w:val="78F44AE4"/>
    <w:rsid w:val="79D40A69"/>
    <w:rsid w:val="79E65E3D"/>
    <w:rsid w:val="7A1B038B"/>
    <w:rsid w:val="7B3534CF"/>
    <w:rsid w:val="7B406F9F"/>
    <w:rsid w:val="7BCB6779"/>
    <w:rsid w:val="7BCC1673"/>
    <w:rsid w:val="7C377A20"/>
    <w:rsid w:val="7C6D3710"/>
    <w:rsid w:val="7CA91AEC"/>
    <w:rsid w:val="7CC23F5E"/>
    <w:rsid w:val="7D5C6BC0"/>
    <w:rsid w:val="7DD44E5B"/>
    <w:rsid w:val="7DDA720E"/>
    <w:rsid w:val="7DE95993"/>
    <w:rsid w:val="7E6336A2"/>
    <w:rsid w:val="7E8D44C9"/>
    <w:rsid w:val="7E943CA8"/>
    <w:rsid w:val="7EF956D8"/>
    <w:rsid w:val="7F072D3B"/>
    <w:rsid w:val="7F360AB9"/>
    <w:rsid w:val="7F877725"/>
    <w:rsid w:val="7FC8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annotation text"/>
    <w:basedOn w:val="1"/>
    <w:semiHidden/>
    <w:unhideWhenUsed/>
    <w:qFormat/>
    <w:uiPriority w:val="99"/>
  </w:style>
  <w:style w:type="paragraph" w:styleId="7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9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10">
    <w:name w:val="List"/>
    <w:basedOn w:val="4"/>
    <w:qFormat/>
    <w:uiPriority w:val="0"/>
    <w:rPr>
      <w:rFonts w:cs="Arial"/>
    </w:rPr>
  </w:style>
  <w:style w:type="paragraph" w:styleId="11">
    <w:name w:val="Normal (Web)"/>
    <w:basedOn w:val="1"/>
    <w:qFormat/>
    <w:uiPriority w:val="0"/>
    <w:pPr>
      <w:spacing w:before="280" w:after="280"/>
    </w:pPr>
    <w:rPr>
      <w:color w:val="000000"/>
    </w:rPr>
  </w:style>
  <w:style w:type="table" w:styleId="12">
    <w:name w:val="Table Grid"/>
    <w:basedOn w:val="3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er Char"/>
    <w:basedOn w:val="2"/>
    <w:link w:val="8"/>
    <w:qFormat/>
    <w:uiPriority w:val="99"/>
  </w:style>
  <w:style w:type="character" w:customStyle="1" w:styleId="14">
    <w:name w:val="Footer Char"/>
    <w:basedOn w:val="2"/>
    <w:link w:val="7"/>
    <w:qFormat/>
    <w:uiPriority w:val="99"/>
  </w:style>
  <w:style w:type="character" w:customStyle="1" w:styleId="15">
    <w:name w:val="Internet 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6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Arial"/>
    </w:rPr>
  </w:style>
  <w:style w:type="paragraph" w:customStyle="1" w:styleId="18">
    <w:name w:val="Caracter Caracter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customStyle="1" w:styleId="19">
    <w:name w:val="Frame Contents"/>
    <w:basedOn w:val="1"/>
    <w:qFormat/>
    <w:uiPriority w:val="0"/>
  </w:style>
  <w:style w:type="paragraph" w:customStyle="1" w:styleId="20">
    <w:name w:val="Default Text:1"/>
    <w:basedOn w:val="1"/>
    <w:qFormat/>
    <w:uiPriority w:val="0"/>
    <w:rPr>
      <w:szCs w:val="20"/>
      <w:lang w:eastAsia="ar-SA"/>
    </w:rPr>
  </w:style>
  <w:style w:type="paragraph" w:customStyle="1" w:styleId="21">
    <w:name w:val="Default Text:2"/>
    <w:basedOn w:val="1"/>
    <w:qFormat/>
    <w:uiPriority w:val="0"/>
    <w:pPr>
      <w:overflowPunct w:val="0"/>
      <w:autoSpaceDE w:val="0"/>
    </w:pPr>
    <w:rPr>
      <w:kern w:val="2"/>
      <w:szCs w:val="20"/>
    </w:rPr>
  </w:style>
  <w:style w:type="paragraph" w:customStyle="1" w:styleId="22">
    <w:name w:val="Default Text"/>
    <w:basedOn w:val="1"/>
    <w:qFormat/>
    <w:uiPriority w:val="0"/>
    <w:pPr>
      <w:autoSpaceDE w:val="0"/>
    </w:pPr>
  </w:style>
  <w:style w:type="paragraph" w:customStyle="1" w:styleId="23">
    <w:name w:val="Caracter Caracter1"/>
    <w:basedOn w:val="1"/>
    <w:qFormat/>
    <w:uiPriority w:val="0"/>
    <w:rPr>
      <w:szCs w:val="24"/>
      <w:lang w:val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Ministerul Finantelor Publice</Company>
  <Pages>3</Pages>
  <Words>1012</Words>
  <Characters>5773</Characters>
  <Lines>48</Lines>
  <Paragraphs>13</Paragraphs>
  <TotalTime>1</TotalTime>
  <ScaleCrop>false</ScaleCrop>
  <LinksUpToDate>false</LinksUpToDate>
  <CharactersWithSpaces>6772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2021-06-24T07:29:00Z</dcterms:created>
  <dc:creator>CRISTIAN-NICOLAE MARIN</dc:creator>
  <cp:lastModifiedBy>49073745</cp:lastModifiedBy>
  <cp:lastPrinted>2025-05-05T12:22:00Z</cp:lastPrinted>
  <dcterms:modified xsi:type="dcterms:W3CDTF">2025-05-06T10:29:38Z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1033-11.2.0.10351</vt:lpwstr>
  </property>
  <property fmtid="{D5CDD505-2E9C-101B-9397-08002B2CF9AE}" pid="10" name="ICV">
    <vt:lpwstr>E5960313BD0A4D50928A3B626D0AFEEA</vt:lpwstr>
  </property>
</Properties>
</file>