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2B" w:rsidRDefault="00DA5B7B">
      <w:pPr>
        <w:rPr>
          <w:rFonts w:ascii="Trajan Pro" w:hAnsi="Trajan Pro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-807720</wp:posOffset>
            </wp:positionH>
            <wp:positionV relativeFrom="margin">
              <wp:posOffset>-185420</wp:posOffset>
            </wp:positionV>
            <wp:extent cx="899795" cy="899795"/>
            <wp:effectExtent l="0" t="0" r="0" b="0"/>
            <wp:wrapTight wrapText="bothSides">
              <wp:wrapPolygon edited="0"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4036695</wp:posOffset>
            </wp:positionH>
            <wp:positionV relativeFrom="paragraph">
              <wp:posOffset>31115</wp:posOffset>
            </wp:positionV>
            <wp:extent cx="194818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194818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jan Pro" w:hAnsi="Trajan Pro"/>
          <w:b/>
          <w:sz w:val="28"/>
          <w:szCs w:val="28"/>
        </w:rPr>
        <w:t xml:space="preserve">MINISTERUL FINANȚELOR       </w:t>
      </w:r>
    </w:p>
    <w:p w:rsidR="0028132B" w:rsidRDefault="00DA5B7B"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  <w:proofErr w:type="spellStart"/>
      <w:r>
        <w:rPr>
          <w:rFonts w:ascii="Trebuchet MS" w:hAnsi="Trebuchet MS"/>
          <w:b/>
          <w:sz w:val="24"/>
          <w:szCs w:val="24"/>
        </w:rPr>
        <w:t>Agen</w:t>
      </w:r>
      <w:proofErr w:type="spellEnd"/>
      <w:r>
        <w:rPr>
          <w:rFonts w:ascii="Trebuchet MS" w:hAnsi="Trebuchet MS"/>
          <w:b/>
          <w:sz w:val="24"/>
          <w:szCs w:val="24"/>
          <w:lang w:val="ro-RO"/>
        </w:rPr>
        <w:t>ț</w:t>
      </w:r>
      <w:r>
        <w:rPr>
          <w:rFonts w:ascii="Trebuchet MS" w:hAnsi="Trebuchet MS"/>
          <w:b/>
          <w:sz w:val="24"/>
          <w:szCs w:val="24"/>
          <w:lang w:val="ro-RO"/>
        </w:rPr>
        <w:t>ia Națională de Administrare Fiscală</w:t>
      </w:r>
    </w:p>
    <w:p w:rsidR="0028132B" w:rsidRDefault="0028132B"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 w:rsidR="0028132B" w:rsidRDefault="0028132B"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 w:rsidR="0028132B" w:rsidRDefault="0028132B"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 w:rsidR="0028132B" w:rsidRDefault="0028132B"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 w:rsidR="0028132B" w:rsidRDefault="00DA5B7B">
      <w:pPr>
        <w:pStyle w:val="DefaultText"/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b/>
          <w:bCs/>
          <w:sz w:val="24"/>
          <w:szCs w:val="24"/>
          <w:lang w:val="pt-BR"/>
        </w:rPr>
        <w:t xml:space="preserve">Referat </w:t>
      </w:r>
      <w:r>
        <w:rPr>
          <w:rFonts w:ascii="Trebuchet MS" w:hAnsi="Trebuchet MS" w:cs="Arial"/>
          <w:b/>
          <w:bCs/>
          <w:sz w:val="24"/>
          <w:szCs w:val="24"/>
        </w:rPr>
        <w:t xml:space="preserve">de </w:t>
      </w:r>
      <w:proofErr w:type="spellStart"/>
      <w:r>
        <w:rPr>
          <w:rFonts w:ascii="Trebuchet MS" w:hAnsi="Trebuchet MS" w:cs="Arial"/>
          <w:b/>
          <w:bCs/>
          <w:sz w:val="24"/>
          <w:szCs w:val="24"/>
        </w:rPr>
        <w:t>aprobare</w:t>
      </w:r>
      <w:proofErr w:type="spellEnd"/>
    </w:p>
    <w:p w:rsidR="0028132B" w:rsidRDefault="0028132B">
      <w:pPr>
        <w:pStyle w:val="DefaultText"/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</w:p>
    <w:p w:rsidR="0028132B" w:rsidRDefault="008C3F9B" w:rsidP="008C3F9B">
      <w:pPr>
        <w:spacing w:after="0" w:line="240" w:lineRule="auto"/>
        <w:jc w:val="center"/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</w:pPr>
      <w:r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>a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 xml:space="preserve"> 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pt-BR" w:eastAsia="zh-CN"/>
        </w:rPr>
        <w:t>proiect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>ului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pt-BR" w:eastAsia="zh-CN"/>
        </w:rPr>
        <w:t xml:space="preserve"> 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 xml:space="preserve">de 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pt-BR" w:eastAsia="zh-CN"/>
        </w:rPr>
        <w:t xml:space="preserve">ordin 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 xml:space="preserve">privind modificarea Ordinului președintelui Agenției Naționale de Administrare Fiscală nr.587/2016 pentru aprobarea modelului şi    </w:t>
      </w:r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 xml:space="preserve">                 conţinutului formularelor utilizate pentru de</w:t>
      </w:r>
      <w:bookmarkStart w:id="0" w:name="_GoBack"/>
      <w:bookmarkEnd w:id="0"/>
      <w:r w:rsidR="00DA5B7B"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  <w:t>clararea impozitelor şi                    taxelor cu regim de stabilire prin autoimpunere sau reţinere la sursă</w:t>
      </w:r>
    </w:p>
    <w:p w:rsidR="0028132B" w:rsidRDefault="0028132B" w:rsidP="008C3F9B">
      <w:pPr>
        <w:spacing w:after="0" w:line="240" w:lineRule="auto"/>
        <w:jc w:val="center"/>
        <w:rPr>
          <w:rFonts w:ascii="Trebuchet MS" w:eastAsia="Arial" w:hAnsi="Trebuchet MS" w:cs="Arial"/>
          <w:b/>
          <w:bCs/>
          <w:color w:val="000000"/>
          <w:sz w:val="24"/>
          <w:szCs w:val="24"/>
          <w:lang w:val="ro-RO" w:eastAsia="zh-CN"/>
        </w:rPr>
      </w:pPr>
    </w:p>
    <w:p w:rsidR="0028132B" w:rsidRDefault="0028132B">
      <w:pPr>
        <w:pStyle w:val="DefaultText"/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</w:p>
    <w:p w:rsidR="0028132B" w:rsidRDefault="00DA5B7B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Prin Ordonanța de urgență a Guvernului nr.</w:t>
      </w:r>
      <w:r>
        <w:rPr>
          <w:rFonts w:ascii="Trebuchet MS" w:hAnsi="Trebuchet MS" w:cs="Trebuchet MS"/>
          <w:sz w:val="24"/>
          <w:szCs w:val="24"/>
        </w:rPr>
        <w:t>6</w:t>
      </w:r>
      <w:r>
        <w:rPr>
          <w:rFonts w:ascii="Trebuchet MS" w:hAnsi="Trebuchet MS" w:cs="Trebuchet MS"/>
          <w:sz w:val="24"/>
          <w:szCs w:val="24"/>
        </w:rPr>
        <w:t>/</w:t>
      </w:r>
      <w:r>
        <w:rPr>
          <w:rFonts w:ascii="Trebuchet MS" w:hAnsi="Trebuchet MS" w:cs="Trebuchet MS"/>
          <w:sz w:val="24"/>
          <w:szCs w:val="24"/>
        </w:rPr>
        <w:t>27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0</w:t>
      </w:r>
      <w:r>
        <w:rPr>
          <w:rFonts w:ascii="Trebuchet MS" w:hAnsi="Trebuchet MS" w:cs="Trebuchet MS"/>
          <w:sz w:val="24"/>
          <w:szCs w:val="24"/>
        </w:rPr>
        <w:t>2.202</w:t>
      </w:r>
      <w:r>
        <w:rPr>
          <w:rFonts w:ascii="Trebuchet MS" w:hAnsi="Trebuchet MS" w:cs="Trebuchet MS"/>
          <w:sz w:val="24"/>
          <w:szCs w:val="24"/>
        </w:rPr>
        <w:t>5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 xml:space="preserve">au </w:t>
      </w:r>
      <w:proofErr w:type="spellStart"/>
      <w:r>
        <w:rPr>
          <w:rFonts w:ascii="Trebuchet MS" w:hAnsi="Trebuchet MS" w:cs="Trebuchet MS"/>
          <w:sz w:val="24"/>
          <w:szCs w:val="24"/>
        </w:rPr>
        <w:t>fost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reglementate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măs</w:t>
      </w:r>
      <w:r>
        <w:rPr>
          <w:rFonts w:ascii="Trebuchet MS" w:hAnsi="Trebuchet MS" w:cs="Trebuchet MS"/>
          <w:sz w:val="24"/>
          <w:szCs w:val="24"/>
          <w:lang w:val="ro-RO"/>
        </w:rPr>
        <w:t>urile aplicabile clienţilor finali din piaţa de energie electrică în perioada 1 aprilie 2025 - 30 iunie 2025, respectiv măsurile aplicabile clienţilor finali din piaţa de gaze naturale în perioada 1 aprilie 2025 - 31 martie 2026</w:t>
      </w:r>
      <w:r>
        <w:rPr>
          <w:rFonts w:ascii="Trebuchet MS" w:hAnsi="Trebuchet MS" w:cs="Trebuchet MS"/>
          <w:sz w:val="24"/>
          <w:szCs w:val="24"/>
          <w:lang w:val="ro-RO"/>
        </w:rPr>
        <w:t>.</w:t>
      </w:r>
    </w:p>
    <w:p w:rsidR="0028132B" w:rsidRDefault="00DA5B7B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Astfel, </w:t>
      </w:r>
      <w:proofErr w:type="spellStart"/>
      <w:r>
        <w:rPr>
          <w:rFonts w:ascii="Trebuchet MS" w:hAnsi="Trebuchet MS" w:cs="Trebuchet MS"/>
          <w:sz w:val="24"/>
          <w:szCs w:val="24"/>
        </w:rPr>
        <w:t>potrivit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art.</w:t>
      </w:r>
      <w:r>
        <w:rPr>
          <w:rFonts w:ascii="Trebuchet MS" w:hAnsi="Trebuchet MS" w:cs="Trebuchet MS"/>
          <w:sz w:val="24"/>
          <w:szCs w:val="24"/>
        </w:rPr>
        <w:t>14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al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in.(1) </w:t>
      </w:r>
      <w:r>
        <w:rPr>
          <w:rFonts w:ascii="Trebuchet MS" w:hAnsi="Trebuchet MS" w:cs="Trebuchet MS"/>
          <w:sz w:val="24"/>
          <w:szCs w:val="24"/>
        </w:rPr>
        <w:t xml:space="preserve">din </w:t>
      </w:r>
      <w:proofErr w:type="spellStart"/>
      <w:r>
        <w:rPr>
          <w:rFonts w:ascii="Trebuchet MS" w:hAnsi="Trebuchet MS" w:cs="Trebuchet MS"/>
          <w:sz w:val="24"/>
          <w:szCs w:val="24"/>
        </w:rPr>
        <w:t>ordonan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>ț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a menționată, începând cu data de 1 aprilie 2025,  producătorii de energie electrică, entităţile agregate de producere a energiei electrice, traderii, furnizorii care desfăşoară activitatea de trading şi agregatorii care tranzacţionează </w:t>
      </w:r>
      <w:r>
        <w:rPr>
          <w:rFonts w:ascii="Trebuchet MS" w:hAnsi="Trebuchet MS" w:cs="Trebuchet MS"/>
          <w:sz w:val="24"/>
          <w:szCs w:val="24"/>
          <w:lang w:val="ro-RO"/>
        </w:rPr>
        <w:t>cantităţi de energie electrică şi/sau gaze naturale pe piaţa angro, precum şi partenerii din contractele financiare de asigurare a riscurilor (contracte de hedging) ai producătorilor de energie electrică plătesc o contribuţie la Fondul de Tranziţie Energet</w:t>
      </w:r>
      <w:r>
        <w:rPr>
          <w:rFonts w:ascii="Trebuchet MS" w:hAnsi="Trebuchet MS" w:cs="Trebuchet MS"/>
          <w:sz w:val="24"/>
          <w:szCs w:val="24"/>
          <w:lang w:val="ro-RO"/>
        </w:rPr>
        <w:t>ică.</w:t>
      </w:r>
    </w:p>
    <w:p w:rsidR="0028132B" w:rsidRDefault="00DA5B7B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Totodată</w:t>
      </w:r>
      <w:r>
        <w:rPr>
          <w:rFonts w:ascii="Trebuchet MS" w:hAnsi="Trebuchet MS" w:cs="Trebuchet MS"/>
          <w:sz w:val="24"/>
          <w:szCs w:val="24"/>
          <w:lang w:val="ro-RO"/>
        </w:rPr>
        <w:t>, potrivit art.14 alin.(4) din aceeași ordonanță, contribuţia la Fondul de Tranziţie Energetică se calculează, se declară şi se plăteşte de către vânzător lunar, până la data de 25 inclusiv a lunii următoare celei pentru care se datorează.</w:t>
      </w:r>
    </w:p>
    <w:p w:rsidR="0028132B" w:rsidRDefault="00DA5B7B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</w:rPr>
        <w:t>Av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ând în vedere dispozițiile legale mai sus menționate, </w:t>
      </w:r>
      <w:proofErr w:type="spellStart"/>
      <w:r>
        <w:rPr>
          <w:rFonts w:ascii="Trebuchet MS" w:hAnsi="Trebuchet MS" w:cs="Trebuchet MS"/>
          <w:sz w:val="24"/>
          <w:szCs w:val="24"/>
        </w:rPr>
        <w:t>prin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prezentul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proiect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de </w:t>
      </w:r>
      <w:proofErr w:type="spellStart"/>
      <w:r>
        <w:rPr>
          <w:rFonts w:ascii="Trebuchet MS" w:hAnsi="Trebuchet MS" w:cs="Trebuchet MS"/>
          <w:sz w:val="24"/>
          <w:szCs w:val="24"/>
        </w:rPr>
        <w:t>ordin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se propune modificarea Ordinul</w:t>
      </w:r>
      <w:proofErr w:type="spellStart"/>
      <w:r>
        <w:rPr>
          <w:rFonts w:ascii="Trebuchet MS" w:hAnsi="Trebuchet MS" w:cs="Trebuchet MS"/>
          <w:sz w:val="24"/>
          <w:szCs w:val="24"/>
        </w:rPr>
        <w:t>ui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preşedintelui Agenţiei Naţionale de Administrare Fiscală nr.587/2016, după cum urmează:</w:t>
      </w:r>
    </w:p>
    <w:p w:rsidR="0028132B" w:rsidRDefault="00DA5B7B">
      <w:pPr>
        <w:numPr>
          <w:ilvl w:val="0"/>
          <w:numId w:val="1"/>
        </w:num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modificarea Nomenclatorului obligațiilor de plată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la bugetul de stat, prevăzut în anexa nr.3 la ordin, în vederea declarării obligațiilor</w:t>
      </w:r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fiscale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menționat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, prin 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actualizarea temeiului legal aferent </w:t>
      </w:r>
      <w:r>
        <w:rPr>
          <w:rFonts w:ascii="Trebuchet MS" w:hAnsi="Trebuchet MS" w:cs="Trebuchet MS"/>
          <w:sz w:val="24"/>
          <w:szCs w:val="24"/>
          <w:lang w:val="ro-RO"/>
        </w:rPr>
        <w:t>poziți</w:t>
      </w:r>
      <w:r>
        <w:rPr>
          <w:rFonts w:ascii="Trebuchet MS" w:hAnsi="Trebuchet MS" w:cs="Trebuchet MS"/>
          <w:sz w:val="24"/>
          <w:szCs w:val="24"/>
          <w:lang w:val="ro-RO"/>
        </w:rPr>
        <w:t>ei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87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„</w:t>
      </w:r>
      <w:r>
        <w:rPr>
          <w:rFonts w:ascii="Trebuchet MS" w:hAnsi="Trebuchet MS" w:cs="Trebuchet MS"/>
          <w:sz w:val="24"/>
          <w:szCs w:val="24"/>
          <w:lang w:val="ro-RO"/>
        </w:rPr>
        <w:t>Contribuţie la Fondul de Tranziţie Energetică</w:t>
      </w:r>
      <w:r>
        <w:rPr>
          <w:rFonts w:ascii="Trebuchet MS" w:hAnsi="Trebuchet MS" w:cs="Trebuchet MS"/>
          <w:sz w:val="24"/>
          <w:szCs w:val="24"/>
          <w:lang w:val="ro-RO"/>
        </w:rPr>
        <w:t>”;</w:t>
      </w:r>
    </w:p>
    <w:p w:rsidR="0028132B" w:rsidRDefault="00DA5B7B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modificarea corespunzătoare a instrucțiunilo</w:t>
      </w:r>
      <w:r>
        <w:rPr>
          <w:rFonts w:ascii="Trebuchet MS" w:hAnsi="Trebuchet MS" w:cs="Trebuchet MS"/>
          <w:sz w:val="24"/>
          <w:szCs w:val="24"/>
          <w:lang w:val="ro-RO"/>
        </w:rPr>
        <w:t>r de completare a formularului 100.</w:t>
      </w:r>
    </w:p>
    <w:p w:rsidR="0028132B" w:rsidRDefault="00DA5B7B">
      <w:pPr>
        <w:suppressAutoHyphens/>
        <w:spacing w:before="240" w:after="0" w:line="240" w:lineRule="auto"/>
        <w:jc w:val="both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  <w:lang w:val="ro-RO"/>
        </w:rPr>
        <w:t>Prevederile pr</w:t>
      </w:r>
      <w:proofErr w:type="spellStart"/>
      <w:r>
        <w:rPr>
          <w:rFonts w:ascii="Trebuchet MS" w:hAnsi="Trebuchet MS" w:cs="Trebuchet MS"/>
          <w:sz w:val="24"/>
          <w:szCs w:val="24"/>
        </w:rPr>
        <w:t>oiectului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de </w:t>
      </w:r>
      <w:r>
        <w:rPr>
          <w:rFonts w:ascii="Trebuchet MS" w:hAnsi="Trebuchet MS" w:cs="Trebuchet MS"/>
          <w:sz w:val="24"/>
          <w:szCs w:val="24"/>
          <w:lang w:val="ro-RO"/>
        </w:rPr>
        <w:t>ordin se aplică pentru obligațiile datorate începând cu data de 1 aprilie 2025</w:t>
      </w:r>
      <w:r>
        <w:rPr>
          <w:rFonts w:ascii="Trebuchet MS" w:hAnsi="Trebuchet MS" w:cs="Trebuchet MS"/>
          <w:sz w:val="24"/>
          <w:szCs w:val="24"/>
        </w:rPr>
        <w:t>.</w:t>
      </w:r>
    </w:p>
    <w:sectPr w:rsidR="0028132B">
      <w:headerReference w:type="default" r:id="rId10"/>
      <w:footerReference w:type="default" r:id="rId11"/>
      <w:pgSz w:w="11906" w:h="16838"/>
      <w:pgMar w:top="611" w:right="836" w:bottom="1152" w:left="1890" w:header="0" w:footer="480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B7B" w:rsidRDefault="00DA5B7B">
      <w:pPr>
        <w:spacing w:line="240" w:lineRule="auto"/>
      </w:pPr>
      <w:r>
        <w:separator/>
      </w:r>
    </w:p>
  </w:endnote>
  <w:endnote w:type="continuationSeparator" w:id="0">
    <w:p w:rsidR="00DA5B7B" w:rsidRDefault="00DA5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922496"/>
    </w:sdtPr>
    <w:sdtEndPr/>
    <w:sdtContent>
      <w:p w:rsidR="0028132B" w:rsidRDefault="0028132B">
        <w:pPr>
          <w:pStyle w:val="Footer"/>
        </w:pPr>
      </w:p>
      <w:p w:rsidR="0028132B" w:rsidRDefault="00DA5B7B">
        <w:pPr>
          <w:pStyle w:val="Footer"/>
          <w:rPr>
            <w:rFonts w:ascii="Trebuchet MS" w:hAnsi="Trebuchet MS"/>
          </w:rPr>
        </w:pP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 xml:space="preserve">Document care conține date cu caracter </w:t>
        </w: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>personal protejate de prevederile Regulamentului (UE) 2016/679</w:t>
        </w:r>
      </w:p>
      <w:p w:rsidR="0028132B" w:rsidRDefault="00DA5B7B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ragraph">
                    <wp:posOffset>0</wp:posOffset>
                  </wp:positionV>
                  <wp:extent cx="1828800" cy="1828800"/>
                  <wp:effectExtent l="0" t="0" r="0" b="0"/>
                  <wp:wrapNone/>
                  <wp:docPr id="3" name="Text Box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132B" w:rsidRDefault="00DA5B7B">
                              <w:pPr>
                                <w:pStyle w:val="Footer"/>
                                <w:jc w:val="right"/>
                                <w:rPr>
                                  <w:lang w:val="ro-RO"/>
                                </w:rPr>
                              </w:pPr>
                              <w:r>
                                <w:t>Page</w:t>
                              </w:r>
                              <w:r>
                                <w:rPr>
                                  <w:lang w:val="ro-RO"/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8C3F9B">
                                <w:rPr>
                                  <w:bCs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t>/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  <w:lang w:val="ro-RO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" filled="f" stroked="f" strokeweight=".5pt">
                  <v:textbox style="mso-fit-shape-to-text:t" inset="0,0,0,0">
                    <w:txbxContent>
                      <w:p w:rsidR="0028132B" w:rsidRDefault="00DA5B7B">
                        <w:pPr>
                          <w:pStyle w:val="Footer"/>
                          <w:jc w:val="right"/>
                          <w:rPr>
                            <w:lang w:val="ro-RO"/>
                          </w:rPr>
                        </w:pPr>
                        <w:r>
                          <w:t>Page</w:t>
                        </w:r>
                        <w:r>
                          <w:rPr>
                            <w:lang w:val="ro-RO"/>
                          </w:rPr>
                          <w:t xml:space="preserve"> </w: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 w:rsidR="008C3F9B">
                          <w:rPr>
                            <w:bCs/>
                            <w:noProof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Cs/>
                            <w:sz w:val="24"/>
                            <w:szCs w:val="24"/>
                            <w:lang w:val="ro-RO"/>
                          </w:rPr>
                          <w:t>2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B7B" w:rsidRDefault="00DA5B7B">
      <w:pPr>
        <w:spacing w:after="0"/>
      </w:pPr>
      <w:r>
        <w:separator/>
      </w:r>
    </w:p>
  </w:footnote>
  <w:footnote w:type="continuationSeparator" w:id="0">
    <w:p w:rsidR="00DA5B7B" w:rsidRDefault="00DA5B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2B" w:rsidRDefault="002813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B27AF23"/>
    <w:multiLevelType w:val="singleLevel"/>
    <w:tmpl w:val="AB27AF23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140C3"/>
    <w:rsid w:val="00172A27"/>
    <w:rsid w:val="0028132B"/>
    <w:rsid w:val="002B1AC3"/>
    <w:rsid w:val="00651F17"/>
    <w:rsid w:val="00884FA5"/>
    <w:rsid w:val="008C3F9B"/>
    <w:rsid w:val="00B256B8"/>
    <w:rsid w:val="00DA5B7B"/>
    <w:rsid w:val="00E823AC"/>
    <w:rsid w:val="010D689D"/>
    <w:rsid w:val="015E1929"/>
    <w:rsid w:val="01903213"/>
    <w:rsid w:val="019A4A79"/>
    <w:rsid w:val="01A71C06"/>
    <w:rsid w:val="01DF40E7"/>
    <w:rsid w:val="03847740"/>
    <w:rsid w:val="03E97E9E"/>
    <w:rsid w:val="04241C81"/>
    <w:rsid w:val="04A63606"/>
    <w:rsid w:val="0619362C"/>
    <w:rsid w:val="0637747B"/>
    <w:rsid w:val="066F1682"/>
    <w:rsid w:val="06961DF8"/>
    <w:rsid w:val="06A85C60"/>
    <w:rsid w:val="07AA40B4"/>
    <w:rsid w:val="07E3589F"/>
    <w:rsid w:val="08A51A8F"/>
    <w:rsid w:val="08CA08ED"/>
    <w:rsid w:val="09065C88"/>
    <w:rsid w:val="092D47B0"/>
    <w:rsid w:val="097D6DEE"/>
    <w:rsid w:val="09F32A10"/>
    <w:rsid w:val="0AE135B3"/>
    <w:rsid w:val="0BB56DA3"/>
    <w:rsid w:val="0BBB4165"/>
    <w:rsid w:val="0C5D5DF4"/>
    <w:rsid w:val="0D2A6A66"/>
    <w:rsid w:val="0D6B0662"/>
    <w:rsid w:val="0D6B69FE"/>
    <w:rsid w:val="0D80308D"/>
    <w:rsid w:val="0E35417C"/>
    <w:rsid w:val="0E4621BF"/>
    <w:rsid w:val="0E5E783B"/>
    <w:rsid w:val="0F147F3A"/>
    <w:rsid w:val="0F6517C5"/>
    <w:rsid w:val="100E1D4F"/>
    <w:rsid w:val="10321DEF"/>
    <w:rsid w:val="11074E10"/>
    <w:rsid w:val="11BC107F"/>
    <w:rsid w:val="11ED1206"/>
    <w:rsid w:val="127706F9"/>
    <w:rsid w:val="127F3D38"/>
    <w:rsid w:val="1288248F"/>
    <w:rsid w:val="13746661"/>
    <w:rsid w:val="13CA7523"/>
    <w:rsid w:val="13D37980"/>
    <w:rsid w:val="13FE15EF"/>
    <w:rsid w:val="14F27C94"/>
    <w:rsid w:val="15B4715C"/>
    <w:rsid w:val="15FE5955"/>
    <w:rsid w:val="16065D3E"/>
    <w:rsid w:val="167032CF"/>
    <w:rsid w:val="16A57CC5"/>
    <w:rsid w:val="17261545"/>
    <w:rsid w:val="182F1DA3"/>
    <w:rsid w:val="188E4975"/>
    <w:rsid w:val="18B600EE"/>
    <w:rsid w:val="18F561A4"/>
    <w:rsid w:val="19434D76"/>
    <w:rsid w:val="19C33EFC"/>
    <w:rsid w:val="19E53D94"/>
    <w:rsid w:val="1A627B75"/>
    <w:rsid w:val="1A6C15A3"/>
    <w:rsid w:val="1A9628E6"/>
    <w:rsid w:val="1AAA6D22"/>
    <w:rsid w:val="1AC2186C"/>
    <w:rsid w:val="1B862B64"/>
    <w:rsid w:val="1C7602B9"/>
    <w:rsid w:val="1D566B09"/>
    <w:rsid w:val="1DF32AE0"/>
    <w:rsid w:val="1E731CB1"/>
    <w:rsid w:val="1EB43949"/>
    <w:rsid w:val="1EE025BF"/>
    <w:rsid w:val="1F4F17B1"/>
    <w:rsid w:val="1FD42C9E"/>
    <w:rsid w:val="1FEF1940"/>
    <w:rsid w:val="20A6733F"/>
    <w:rsid w:val="21076A9B"/>
    <w:rsid w:val="2165588D"/>
    <w:rsid w:val="21F0506C"/>
    <w:rsid w:val="2246081C"/>
    <w:rsid w:val="22463E76"/>
    <w:rsid w:val="230F6D54"/>
    <w:rsid w:val="23161D95"/>
    <w:rsid w:val="234D1726"/>
    <w:rsid w:val="238F2F00"/>
    <w:rsid w:val="23D43BB4"/>
    <w:rsid w:val="23D53F7D"/>
    <w:rsid w:val="23D91C40"/>
    <w:rsid w:val="240F7DB2"/>
    <w:rsid w:val="24B42108"/>
    <w:rsid w:val="24CD6D8A"/>
    <w:rsid w:val="25511DAA"/>
    <w:rsid w:val="25570938"/>
    <w:rsid w:val="257537F8"/>
    <w:rsid w:val="25945DA4"/>
    <w:rsid w:val="25CC719C"/>
    <w:rsid w:val="25EA33DB"/>
    <w:rsid w:val="25EE4103"/>
    <w:rsid w:val="264B706C"/>
    <w:rsid w:val="264E4147"/>
    <w:rsid w:val="26AB05CB"/>
    <w:rsid w:val="26D36419"/>
    <w:rsid w:val="271B4883"/>
    <w:rsid w:val="2721571A"/>
    <w:rsid w:val="275C769D"/>
    <w:rsid w:val="277724F8"/>
    <w:rsid w:val="27B331B7"/>
    <w:rsid w:val="27B72239"/>
    <w:rsid w:val="283468B0"/>
    <w:rsid w:val="28A36690"/>
    <w:rsid w:val="28AB3081"/>
    <w:rsid w:val="28C8250F"/>
    <w:rsid w:val="28E30A91"/>
    <w:rsid w:val="29CB66E0"/>
    <w:rsid w:val="2A43397A"/>
    <w:rsid w:val="2A9C30DA"/>
    <w:rsid w:val="2AA40674"/>
    <w:rsid w:val="2AC6509D"/>
    <w:rsid w:val="2B156E10"/>
    <w:rsid w:val="2B8D7B0C"/>
    <w:rsid w:val="2BB01EEB"/>
    <w:rsid w:val="2C372166"/>
    <w:rsid w:val="2C6B6E84"/>
    <w:rsid w:val="2C725643"/>
    <w:rsid w:val="2D14037D"/>
    <w:rsid w:val="2D9E5898"/>
    <w:rsid w:val="2DD942D8"/>
    <w:rsid w:val="2DDC0F11"/>
    <w:rsid w:val="2E0C3A16"/>
    <w:rsid w:val="2E3F4230"/>
    <w:rsid w:val="2ED04F66"/>
    <w:rsid w:val="2F1271DD"/>
    <w:rsid w:val="2F207C1B"/>
    <w:rsid w:val="2FA772B8"/>
    <w:rsid w:val="2FAD2427"/>
    <w:rsid w:val="2FB63537"/>
    <w:rsid w:val="2FC260DA"/>
    <w:rsid w:val="2FC725D3"/>
    <w:rsid w:val="2FCC4ED1"/>
    <w:rsid w:val="30052281"/>
    <w:rsid w:val="301A3290"/>
    <w:rsid w:val="3061271D"/>
    <w:rsid w:val="309C64D5"/>
    <w:rsid w:val="310C7F1D"/>
    <w:rsid w:val="32355210"/>
    <w:rsid w:val="32562C36"/>
    <w:rsid w:val="32810F93"/>
    <w:rsid w:val="329D53F6"/>
    <w:rsid w:val="32AE70BE"/>
    <w:rsid w:val="33D80771"/>
    <w:rsid w:val="340D063A"/>
    <w:rsid w:val="34356268"/>
    <w:rsid w:val="349F1C25"/>
    <w:rsid w:val="34D92DC4"/>
    <w:rsid w:val="352E4932"/>
    <w:rsid w:val="359411A1"/>
    <w:rsid w:val="35B848DE"/>
    <w:rsid w:val="35BF0C09"/>
    <w:rsid w:val="366761D2"/>
    <w:rsid w:val="368318F0"/>
    <w:rsid w:val="388E3564"/>
    <w:rsid w:val="38D9077C"/>
    <w:rsid w:val="39576CC5"/>
    <w:rsid w:val="39880C7D"/>
    <w:rsid w:val="3A527327"/>
    <w:rsid w:val="3A962C91"/>
    <w:rsid w:val="3AAC37B2"/>
    <w:rsid w:val="3AC3111A"/>
    <w:rsid w:val="3BF57816"/>
    <w:rsid w:val="3C3A54B5"/>
    <w:rsid w:val="3D441948"/>
    <w:rsid w:val="3D4C5F94"/>
    <w:rsid w:val="3E1B43B6"/>
    <w:rsid w:val="3ED91810"/>
    <w:rsid w:val="3EEF54C7"/>
    <w:rsid w:val="3F512C43"/>
    <w:rsid w:val="3FCF6241"/>
    <w:rsid w:val="3FE522A3"/>
    <w:rsid w:val="400C0D2C"/>
    <w:rsid w:val="40505D61"/>
    <w:rsid w:val="406801AF"/>
    <w:rsid w:val="40720927"/>
    <w:rsid w:val="40854722"/>
    <w:rsid w:val="40EF7456"/>
    <w:rsid w:val="41473C19"/>
    <w:rsid w:val="41CB7ECC"/>
    <w:rsid w:val="41F11862"/>
    <w:rsid w:val="43367E1F"/>
    <w:rsid w:val="4357717C"/>
    <w:rsid w:val="438207D1"/>
    <w:rsid w:val="43BE6DFB"/>
    <w:rsid w:val="44943B95"/>
    <w:rsid w:val="44985BC6"/>
    <w:rsid w:val="45B130A9"/>
    <w:rsid w:val="46843F95"/>
    <w:rsid w:val="46D26D0D"/>
    <w:rsid w:val="46D87E78"/>
    <w:rsid w:val="470831F3"/>
    <w:rsid w:val="47521D22"/>
    <w:rsid w:val="477521A4"/>
    <w:rsid w:val="47A42FD5"/>
    <w:rsid w:val="47A83E32"/>
    <w:rsid w:val="47B40AF4"/>
    <w:rsid w:val="48CD3843"/>
    <w:rsid w:val="48F117F7"/>
    <w:rsid w:val="492E619F"/>
    <w:rsid w:val="49C063B1"/>
    <w:rsid w:val="4A217098"/>
    <w:rsid w:val="4A8063A5"/>
    <w:rsid w:val="4AA42767"/>
    <w:rsid w:val="4AF02F3B"/>
    <w:rsid w:val="4B6C7AEC"/>
    <w:rsid w:val="4B9A4D59"/>
    <w:rsid w:val="4C2B07B0"/>
    <w:rsid w:val="4C682C1F"/>
    <w:rsid w:val="4D090EF8"/>
    <w:rsid w:val="4D951D26"/>
    <w:rsid w:val="4E101F7B"/>
    <w:rsid w:val="4F2D3015"/>
    <w:rsid w:val="4F44363C"/>
    <w:rsid w:val="5044617C"/>
    <w:rsid w:val="507D0823"/>
    <w:rsid w:val="50DA4426"/>
    <w:rsid w:val="52030EA6"/>
    <w:rsid w:val="523B4546"/>
    <w:rsid w:val="52AB44F8"/>
    <w:rsid w:val="5447048D"/>
    <w:rsid w:val="548C45D3"/>
    <w:rsid w:val="54F860E9"/>
    <w:rsid w:val="554B007E"/>
    <w:rsid w:val="55B73944"/>
    <w:rsid w:val="55E36DDD"/>
    <w:rsid w:val="566576FF"/>
    <w:rsid w:val="569B633B"/>
    <w:rsid w:val="572977FE"/>
    <w:rsid w:val="57966413"/>
    <w:rsid w:val="583C5F5D"/>
    <w:rsid w:val="585E3942"/>
    <w:rsid w:val="58620170"/>
    <w:rsid w:val="590D4433"/>
    <w:rsid w:val="592F1EDD"/>
    <w:rsid w:val="593A5AB0"/>
    <w:rsid w:val="596F5803"/>
    <w:rsid w:val="597B5319"/>
    <w:rsid w:val="597F6880"/>
    <w:rsid w:val="59D033B8"/>
    <w:rsid w:val="59DB3ADF"/>
    <w:rsid w:val="5A0065A6"/>
    <w:rsid w:val="5AEB7EBF"/>
    <w:rsid w:val="5B6656CF"/>
    <w:rsid w:val="5C3A6F70"/>
    <w:rsid w:val="5D2D2508"/>
    <w:rsid w:val="5DAD134F"/>
    <w:rsid w:val="5DE07592"/>
    <w:rsid w:val="5E186200"/>
    <w:rsid w:val="5E265155"/>
    <w:rsid w:val="5E3B4BF6"/>
    <w:rsid w:val="5F4B02A7"/>
    <w:rsid w:val="5FE4608A"/>
    <w:rsid w:val="604227C3"/>
    <w:rsid w:val="60722B1C"/>
    <w:rsid w:val="609D0C81"/>
    <w:rsid w:val="60DE4C9F"/>
    <w:rsid w:val="61825AB5"/>
    <w:rsid w:val="619407AB"/>
    <w:rsid w:val="625817B7"/>
    <w:rsid w:val="62693F6B"/>
    <w:rsid w:val="62700D45"/>
    <w:rsid w:val="62916B8D"/>
    <w:rsid w:val="634E2533"/>
    <w:rsid w:val="638D7383"/>
    <w:rsid w:val="63AF2E65"/>
    <w:rsid w:val="63EB54CA"/>
    <w:rsid w:val="64053EC6"/>
    <w:rsid w:val="6416550D"/>
    <w:rsid w:val="65A1489C"/>
    <w:rsid w:val="66A772B7"/>
    <w:rsid w:val="673D46AD"/>
    <w:rsid w:val="67571051"/>
    <w:rsid w:val="681D6B19"/>
    <w:rsid w:val="6869184B"/>
    <w:rsid w:val="692A0601"/>
    <w:rsid w:val="69524B00"/>
    <w:rsid w:val="69757766"/>
    <w:rsid w:val="699278A6"/>
    <w:rsid w:val="69B533A3"/>
    <w:rsid w:val="6A5F0A39"/>
    <w:rsid w:val="6AD0429B"/>
    <w:rsid w:val="6B220BAD"/>
    <w:rsid w:val="6B3174FC"/>
    <w:rsid w:val="6B4068C6"/>
    <w:rsid w:val="6B8F0543"/>
    <w:rsid w:val="6B904035"/>
    <w:rsid w:val="6BC53131"/>
    <w:rsid w:val="6BCF63E8"/>
    <w:rsid w:val="6C1163B3"/>
    <w:rsid w:val="6CEB0359"/>
    <w:rsid w:val="6D4C7896"/>
    <w:rsid w:val="6D7069B2"/>
    <w:rsid w:val="6E0154E6"/>
    <w:rsid w:val="6E873DAF"/>
    <w:rsid w:val="6ECF2631"/>
    <w:rsid w:val="6EE02460"/>
    <w:rsid w:val="6F671721"/>
    <w:rsid w:val="6FFC6AEF"/>
    <w:rsid w:val="707B70D2"/>
    <w:rsid w:val="70DB36AD"/>
    <w:rsid w:val="70F43070"/>
    <w:rsid w:val="7111646C"/>
    <w:rsid w:val="71207954"/>
    <w:rsid w:val="71217A08"/>
    <w:rsid w:val="71231F88"/>
    <w:rsid w:val="71652CEE"/>
    <w:rsid w:val="717903FF"/>
    <w:rsid w:val="71C51C09"/>
    <w:rsid w:val="71C73228"/>
    <w:rsid w:val="7240115C"/>
    <w:rsid w:val="72AC372A"/>
    <w:rsid w:val="72BE15EB"/>
    <w:rsid w:val="72D955E1"/>
    <w:rsid w:val="72DB36FD"/>
    <w:rsid w:val="73AD7D52"/>
    <w:rsid w:val="73BD62B1"/>
    <w:rsid w:val="73E770EB"/>
    <w:rsid w:val="74136E9C"/>
    <w:rsid w:val="74FE7628"/>
    <w:rsid w:val="751245D1"/>
    <w:rsid w:val="75751BB4"/>
    <w:rsid w:val="761E5F53"/>
    <w:rsid w:val="764C225F"/>
    <w:rsid w:val="768F2505"/>
    <w:rsid w:val="76B74344"/>
    <w:rsid w:val="76F20BD7"/>
    <w:rsid w:val="77160DC2"/>
    <w:rsid w:val="775641DE"/>
    <w:rsid w:val="77A729B4"/>
    <w:rsid w:val="77ED47CF"/>
    <w:rsid w:val="77F659A7"/>
    <w:rsid w:val="78203FB3"/>
    <w:rsid w:val="78470C59"/>
    <w:rsid w:val="78E46319"/>
    <w:rsid w:val="78F44AE4"/>
    <w:rsid w:val="79D40A69"/>
    <w:rsid w:val="79E65E3D"/>
    <w:rsid w:val="7A1B038B"/>
    <w:rsid w:val="7B406F9F"/>
    <w:rsid w:val="7BCB6779"/>
    <w:rsid w:val="7BCC1673"/>
    <w:rsid w:val="7C377A20"/>
    <w:rsid w:val="7C6D3710"/>
    <w:rsid w:val="7CA91AEC"/>
    <w:rsid w:val="7CC23F5E"/>
    <w:rsid w:val="7D5C6BC0"/>
    <w:rsid w:val="7DD44E5B"/>
    <w:rsid w:val="7DDA720E"/>
    <w:rsid w:val="7DE95993"/>
    <w:rsid w:val="7E045696"/>
    <w:rsid w:val="7E6336A2"/>
    <w:rsid w:val="7E8D44C9"/>
    <w:rsid w:val="7E943CA8"/>
    <w:rsid w:val="7EF956D8"/>
    <w:rsid w:val="7F072D3B"/>
    <w:rsid w:val="7F360AB9"/>
    <w:rsid w:val="7F3B1D3A"/>
    <w:rsid w:val="7F877725"/>
    <w:rsid w:val="7FC8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FF897EA-EB3C-43E8-BB9D-815B1A05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table" w:styleId="TableGrid">
    <w:name w:val="Table Grid"/>
    <w:basedOn w:val="TableNormal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customStyle="1" w:styleId="DefaultText1">
    <w:name w:val="Default Text:1"/>
    <w:basedOn w:val="Normal"/>
    <w:qFormat/>
    <w:rPr>
      <w:szCs w:val="20"/>
      <w:lang w:eastAsia="ar-SA"/>
    </w:rPr>
  </w:style>
  <w:style w:type="paragraph" w:customStyle="1" w:styleId="DefaultText2">
    <w:name w:val="Default Text:2"/>
    <w:basedOn w:val="Normal"/>
    <w:qFormat/>
    <w:pPr>
      <w:overflowPunct w:val="0"/>
      <w:autoSpaceDE w:val="0"/>
    </w:pPr>
    <w:rPr>
      <w:kern w:val="2"/>
      <w:szCs w:val="20"/>
    </w:rPr>
  </w:style>
  <w:style w:type="paragraph" w:customStyle="1" w:styleId="DefaultText">
    <w:name w:val="Default Text"/>
    <w:basedOn w:val="Normal"/>
    <w:qFormat/>
    <w:pPr>
      <w:autoSpaceDE w:val="0"/>
    </w:pPr>
  </w:style>
  <w:style w:type="paragraph" w:customStyle="1" w:styleId="CaracterCaracter1">
    <w:name w:val="Caracter Caracter1"/>
    <w:basedOn w:val="Normal"/>
    <w:qFormat/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IONELA GHENCEA</cp:lastModifiedBy>
  <cp:revision>2</cp:revision>
  <cp:lastPrinted>2025-03-04T09:27:00Z</cp:lastPrinted>
  <dcterms:created xsi:type="dcterms:W3CDTF">2025-04-04T09:38:00Z</dcterms:created>
  <dcterms:modified xsi:type="dcterms:W3CDTF">2025-04-04T09:38:00Z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1033-11.2.0.10351</vt:lpwstr>
  </property>
  <property fmtid="{D5CDD505-2E9C-101B-9397-08002B2CF9AE}" pid="10" name="ICV">
    <vt:lpwstr>96566B7BC7054E6A8B434BECBE9F43D3</vt:lpwstr>
  </property>
</Properties>
</file>