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andard"/>
        <w:jc w:val="both"/>
        <w:rPr>
          <w:rFonts w:ascii="Trebuchet MS" w:hAnsi="Trebuchet MS" w:cs="Times New Roman"/>
        </w:rPr>
      </w:pPr>
      <w:r>
        <w:rPr>
          <w:rFonts w:cs="Times New Roman" w:ascii="Trebuchet MS" w:hAnsi="Trebuchet MS"/>
        </w:rPr>
      </w:r>
    </w:p>
    <w:p>
      <w:pPr>
        <w:pStyle w:val="Standard"/>
        <w:jc w:val="center"/>
        <w:rPr>
          <w:rFonts w:ascii="Trebuchet MS" w:hAnsi="Trebuchet MS" w:cs="Times New Roman"/>
        </w:rPr>
      </w:pPr>
      <w:r>
        <w:rPr>
          <w:rFonts w:cs="Times New Roman" w:ascii="Trebuchet MS" w:hAnsi="Trebuchet MS"/>
        </w:rPr>
        <w:t>REFERAT DE APROBARE</w:t>
      </w:r>
    </w:p>
    <w:p>
      <w:pPr>
        <w:pStyle w:val="Standard"/>
        <w:jc w:val="both"/>
        <w:rPr>
          <w:rFonts w:ascii="Trebuchet MS" w:hAnsi="Trebuchet MS" w:cs="Times New Roman"/>
        </w:rPr>
      </w:pPr>
      <w:r>
        <w:rPr>
          <w:rFonts w:cs="Times New Roman" w:ascii="Trebuchet MS" w:hAnsi="Trebuchet MS"/>
        </w:rPr>
        <w:t xml:space="preserve"> </w:t>
      </w:r>
    </w:p>
    <w:p>
      <w:pPr>
        <w:pStyle w:val="Standard"/>
        <w:spacing w:before="0" w:after="0"/>
        <w:jc w:val="center"/>
        <w:rPr>
          <w:rFonts w:ascii="Trebuchet MS" w:hAnsi="Trebuchet MS"/>
        </w:rPr>
      </w:pPr>
      <w:r>
        <w:rPr>
          <w:rFonts w:cs="Times New Roman" w:ascii="Trebuchet MS" w:hAnsi="Trebuchet MS"/>
        </w:rPr>
        <w:t xml:space="preserve">a proiectului de Ordin pentru </w:t>
      </w:r>
      <w:r>
        <w:rPr>
          <w:rFonts w:ascii="Trebuchet MS" w:hAnsi="Trebuchet MS"/>
        </w:rPr>
        <w:t xml:space="preserve">modificarea </w:t>
      </w:r>
    </w:p>
    <w:p>
      <w:pPr>
        <w:pStyle w:val="Standard"/>
        <w:jc w:val="center"/>
        <w:rPr>
          <w:rFonts w:ascii="Trebuchet MS" w:hAnsi="Trebuchet MS"/>
        </w:rPr>
      </w:pPr>
      <w:r>
        <w:rPr>
          <w:rFonts w:ascii="Trebuchet MS" w:hAnsi="Trebuchet MS"/>
        </w:rPr>
        <w:t>Anexei nr.1 la Ordinul preşedintelui Agenţiei Naţionale de Administrare Fiscală nr. 1029/2020 privind aprobarea formularului utilizat de intermediarii sau contribuabilii relevanţi, după caz, în vederea raportării informaţiilor cu privire la aranjamentele transfrontaliere care fac obiectul raportării</w:t>
      </w:r>
    </w:p>
    <w:p>
      <w:pPr>
        <w:pStyle w:val="Standard"/>
        <w:jc w:val="both"/>
        <w:rPr>
          <w:rFonts w:ascii="Trebuchet MS" w:hAnsi="Trebuchet MS" w:cs="Times New Roman"/>
          <w:lang w:val="ro-RO"/>
        </w:rPr>
      </w:pPr>
      <w:r>
        <w:rPr>
          <w:rFonts w:cs="Times New Roman" w:ascii="Trebuchet MS" w:hAnsi="Trebuchet MS"/>
        </w:rPr>
        <w:t xml:space="preserve"> </w:t>
      </w:r>
      <w:r>
        <w:rPr>
          <w:rFonts w:cs="Times New Roman" w:ascii="Trebuchet MS" w:hAnsi="Trebuchet MS"/>
        </w:rPr>
        <w:t>Directiva (UE) 2018/822 a Consiliului din 25 mai 2018 de modificare a Directivei 2011/16/UE în ceea ce privește schimbul automat obligatoriu de informații în domeniul fiscal cu privire la modalitățile transfrontaliere care fac obiectul raportării,</w:t>
      </w:r>
      <w:r>
        <w:rPr>
          <w:rFonts w:cs="Times New Roman" w:ascii="Trebuchet MS" w:hAnsi="Trebuchet MS"/>
          <w:lang w:val="ro-RO"/>
        </w:rPr>
        <w:t xml:space="preserve"> a fost </w:t>
      </w:r>
      <w:r>
        <w:rPr>
          <w:rFonts w:cs="Times New Roman" w:ascii="Trebuchet MS" w:hAnsi="Trebuchet MS"/>
        </w:rPr>
        <w:t>transpus</w:t>
      </w:r>
      <w:r>
        <w:rPr>
          <w:rFonts w:cs="Times New Roman" w:ascii="Trebuchet MS" w:hAnsi="Trebuchet MS"/>
          <w:lang w:val="ro-RO"/>
        </w:rPr>
        <w:t>ă</w:t>
      </w:r>
      <w:r>
        <w:rPr>
          <w:rFonts w:cs="Times New Roman" w:ascii="Trebuchet MS" w:hAnsi="Trebuchet MS"/>
        </w:rPr>
        <w:t xml:space="preserve"> </w:t>
      </w:r>
      <w:r>
        <w:rPr>
          <w:rFonts w:cs="Times New Roman" w:ascii="Trebuchet MS" w:hAnsi="Trebuchet MS"/>
          <w:lang w:val="ro-RO"/>
        </w:rPr>
        <w:t>î</w:t>
      </w:r>
      <w:r>
        <w:rPr>
          <w:rFonts w:cs="Times New Roman" w:ascii="Trebuchet MS" w:hAnsi="Trebuchet MS"/>
        </w:rPr>
        <w:t>n legi</w:t>
      </w:r>
      <w:r>
        <w:rPr>
          <w:rFonts w:cs="Times New Roman" w:ascii="Trebuchet MS" w:hAnsi="Trebuchet MS"/>
          <w:lang w:val="ro-RO"/>
        </w:rPr>
        <w:t>s</w:t>
      </w:r>
      <w:r>
        <w:rPr>
          <w:rFonts w:cs="Times New Roman" w:ascii="Trebuchet MS" w:hAnsi="Trebuchet MS"/>
        </w:rPr>
        <w:t>la</w:t>
      </w:r>
      <w:r>
        <w:rPr>
          <w:rFonts w:cs="Times New Roman" w:ascii="Trebuchet MS" w:hAnsi="Trebuchet MS"/>
          <w:lang w:val="ro-RO"/>
        </w:rPr>
        <w:t>ți</w:t>
      </w:r>
      <w:r>
        <w:rPr>
          <w:rFonts w:cs="Times New Roman" w:ascii="Trebuchet MS" w:hAnsi="Trebuchet MS"/>
        </w:rPr>
        <w:t>a na</w:t>
      </w:r>
      <w:r>
        <w:rPr>
          <w:rFonts w:cs="Times New Roman" w:ascii="Trebuchet MS" w:hAnsi="Trebuchet MS"/>
          <w:lang w:val="ro-RO"/>
        </w:rPr>
        <w:t>ț</w:t>
      </w:r>
      <w:r>
        <w:rPr>
          <w:rFonts w:cs="Times New Roman" w:ascii="Trebuchet MS" w:hAnsi="Trebuchet MS"/>
        </w:rPr>
        <w:t>ional</w:t>
      </w:r>
      <w:r>
        <w:rPr>
          <w:rFonts w:cs="Times New Roman" w:ascii="Trebuchet MS" w:hAnsi="Trebuchet MS"/>
          <w:lang w:val="ro-RO"/>
        </w:rPr>
        <w:t>ă prin art.291^4 alin. (17) din Legea nr. 207/2015 privind Codul de procedură fiscală, fiind astfel stabilită obligativitatea de raportare a aranjamentelor transfrontaliere.</w:t>
      </w:r>
    </w:p>
    <w:p>
      <w:pPr>
        <w:pStyle w:val="Standard"/>
        <w:widowControl w:val="false"/>
        <w:spacing w:before="0" w:after="144"/>
        <w:ind w:firstLine="700"/>
        <w:jc w:val="both"/>
        <w:rPr>
          <w:rFonts w:ascii="Trebuchet MS" w:hAnsi="Trebuchet MS" w:cs="Times New Roman"/>
          <w:lang w:val="ro-RO"/>
        </w:rPr>
      </w:pPr>
      <w:r>
        <w:rPr>
          <w:rFonts w:cs="Times New Roman" w:ascii="Trebuchet MS" w:hAnsi="Trebuchet MS"/>
          <w:lang w:val="ro-RO"/>
        </w:rPr>
        <w:t xml:space="preserve">Prin </w:t>
      </w:r>
      <w:r>
        <w:rPr>
          <w:rFonts w:ascii="Trebuchet MS" w:hAnsi="Trebuchet MS"/>
          <w:lang w:val="ro-RO"/>
        </w:rPr>
        <w:t>Ordinul preşedintelui Agenţiei Naţionale de Administrare Fiscală  nr. 1029/2020 a fost aprobat formularul utilizat de intermediarii sau contribuabilii relevanţi, după caz, în vederea raportării informaţiilor cu privire la aranjamentele transfrontaliere care fac obiectul raportării.</w:t>
      </w:r>
    </w:p>
    <w:p>
      <w:pPr>
        <w:pStyle w:val="Standard"/>
        <w:widowControl w:val="false"/>
        <w:spacing w:before="0" w:after="144"/>
        <w:ind w:firstLine="700"/>
        <w:jc w:val="both"/>
        <w:rPr>
          <w:rFonts w:ascii="Trebuchet MS" w:hAnsi="Trebuchet MS"/>
          <w:lang w:val="ro-RO"/>
        </w:rPr>
      </w:pPr>
      <w:r>
        <w:rPr>
          <w:rFonts w:ascii="Trebuchet MS" w:hAnsi="Trebuchet MS"/>
          <w:lang w:val="ro-RO"/>
        </w:rPr>
        <w:t xml:space="preserve">Potrivit prevederilor punctului 5 din Secțiunea II a Anexei nr.1 la ordinul anterior menționat, descrierea aranjamentului transfrontalier care face obiectul raportării se </w:t>
      </w:r>
      <w:r>
        <w:rPr>
          <w:rFonts w:ascii="Trebuchet MS" w:hAnsi="Trebuchet MS"/>
        </w:rPr>
        <w:t>completeaz</w:t>
      </w:r>
      <w:r>
        <w:rPr>
          <w:rFonts w:ascii="Trebuchet MS" w:hAnsi="Trebuchet MS"/>
          <w:lang w:val="ro-RO"/>
        </w:rPr>
        <w:t>ă în limba română, suplimentar şi opţional se poate adăuga descrierea aranjamentului şi în limba engleză. În continuare, punctul 6 din cadrul aceleiași secțiuni, indică completarea cu prevederile legale naţionale care constituie baza aranjamentului transfrontalier care face obiectul raportării, fără a fi specificată limba de completare.</w:t>
      </w:r>
    </w:p>
    <w:p>
      <w:pPr>
        <w:pStyle w:val="Standard"/>
        <w:widowControl w:val="false"/>
        <w:spacing w:before="0" w:after="144"/>
        <w:ind w:firstLine="700"/>
        <w:jc w:val="both"/>
        <w:rPr>
          <w:rFonts w:ascii="Trebuchet MS" w:hAnsi="Trebuchet MS" w:cs="Times New Roman"/>
          <w:b/>
          <w:bCs/>
          <w:lang w:val="ro-RO"/>
        </w:rPr>
      </w:pPr>
      <w:r>
        <w:rPr>
          <w:rFonts w:ascii="Trebuchet MS" w:hAnsi="Trebuchet MS"/>
        </w:rPr>
        <w:t>T</w:t>
      </w:r>
      <w:r>
        <w:rPr>
          <w:rFonts w:ascii="Trebuchet MS" w:hAnsi="Trebuchet MS"/>
          <w:lang w:val="ro-RO"/>
        </w:rPr>
        <w:t>o</w:t>
      </w:r>
      <w:r>
        <w:rPr>
          <w:rFonts w:ascii="Trebuchet MS" w:hAnsi="Trebuchet MS"/>
        </w:rPr>
        <w:t>todat</w:t>
      </w:r>
      <w:r>
        <w:rPr>
          <w:rFonts w:ascii="Trebuchet MS" w:hAnsi="Trebuchet MS"/>
          <w:lang w:val="ro-RO"/>
        </w:rPr>
        <w:t>ă</w:t>
      </w:r>
      <w:r>
        <w:rPr>
          <w:rFonts w:ascii="Trebuchet MS" w:hAnsi="Trebuchet MS"/>
        </w:rPr>
        <w:t>,</w:t>
      </w:r>
      <w:r>
        <w:rPr>
          <w:rFonts w:ascii="Trebuchet MS" w:hAnsi="Trebuchet MS"/>
          <w:lang w:val="ro-RO"/>
        </w:rPr>
        <w:t xml:space="preserve"> conform art.303, alin.(7) din </w:t>
      </w:r>
      <w:r>
        <w:rPr>
          <w:rFonts w:ascii="Trebuchet MS" w:hAnsi="Trebuchet MS"/>
        </w:rPr>
        <w:t>Legea nr. 207/2015 privind Codul de procedură fiscală</w:t>
      </w:r>
      <w:r>
        <w:rPr>
          <w:rFonts w:ascii="Trebuchet MS" w:hAnsi="Trebuchet MS"/>
          <w:lang w:val="ro-RO"/>
        </w:rPr>
        <w:t xml:space="preserve"> </w:t>
      </w:r>
      <w:r>
        <w:rPr>
          <w:rFonts w:ascii="Trebuchet MS" w:hAnsi="Trebuchet MS"/>
          <w:i/>
          <w:iCs/>
        </w:rPr>
        <w:t>“</w:t>
      </w:r>
      <w:r>
        <w:rPr>
          <w:rFonts w:ascii="Trebuchet MS" w:hAnsi="Trebuchet MS"/>
          <w:i/>
          <w:iCs/>
          <w:lang w:val="ro-RO"/>
        </w:rPr>
        <w:t>ANAF comunică informațiile prevăzute la art. 291</w:t>
      </w:r>
      <w:r>
        <w:rPr>
          <w:rFonts w:ascii="Trebuchet MS" w:hAnsi="Trebuchet MS"/>
          <w:i/>
          <w:iCs/>
        </w:rPr>
        <w:t>^</w:t>
      </w:r>
      <w:r>
        <w:rPr>
          <w:rFonts w:ascii="Trebuchet MS" w:hAnsi="Trebuchet MS"/>
          <w:i/>
          <w:iCs/>
          <w:lang w:val="ro-RO"/>
        </w:rPr>
        <w:t>1, 291</w:t>
      </w:r>
      <w:r>
        <w:rPr>
          <w:rFonts w:ascii="Trebuchet MS" w:hAnsi="Trebuchet MS"/>
          <w:i/>
          <w:iCs/>
        </w:rPr>
        <w:t>^</w:t>
      </w:r>
      <w:r>
        <w:rPr>
          <w:rFonts w:ascii="Trebuchet MS" w:hAnsi="Trebuchet MS"/>
          <w:i/>
          <w:iCs/>
          <w:lang w:val="ro-RO"/>
        </w:rPr>
        <w:t>3 și 291</w:t>
      </w:r>
      <w:r>
        <w:rPr>
          <w:rFonts w:ascii="Trebuchet MS" w:hAnsi="Trebuchet MS"/>
          <w:i/>
          <w:iCs/>
        </w:rPr>
        <w:t>^</w:t>
      </w:r>
      <w:r>
        <w:rPr>
          <w:rFonts w:ascii="Trebuchet MS" w:hAnsi="Trebuchet MS"/>
          <w:i/>
          <w:iCs/>
          <w:lang w:val="ro-RO"/>
        </w:rPr>
        <w:t xml:space="preserve">4 în limba română în funcție de regimul lingvistic adoptat de Comisia Europeană, în temeiul art. 20 alin. (5) primul paragraf din Directiva 2011/16/UE </w:t>
      </w:r>
      <w:r>
        <w:rPr>
          <w:rFonts w:ascii="Trebuchet MS" w:hAnsi="Trebuchet MS"/>
          <w:i/>
          <w:iCs/>
        </w:rPr>
        <w:t>[…]</w:t>
      </w:r>
      <w:r>
        <w:rPr>
          <w:rFonts w:ascii="Trebuchet MS" w:hAnsi="Trebuchet MS"/>
          <w:i/>
          <w:iCs/>
          <w:lang w:val="ro-RO"/>
        </w:rPr>
        <w:t>, ANAF comunică elementele esențiale ale informațiilor respective</w:t>
      </w:r>
      <w:r>
        <w:rPr>
          <w:rFonts w:ascii="Trebuchet MS" w:hAnsi="Trebuchet MS"/>
          <w:b/>
          <w:bCs/>
          <w:i/>
          <w:iCs/>
          <w:lang w:val="ro-RO"/>
        </w:rPr>
        <w:t xml:space="preserve"> și într-o altă limbă oficială a Uniunii Europene.</w:t>
      </w:r>
      <w:r>
        <w:rPr>
          <w:rFonts w:ascii="Trebuchet MS" w:hAnsi="Trebuchet MS"/>
          <w:b/>
          <w:bCs/>
          <w:i/>
          <w:iCs/>
        </w:rPr>
        <w:t>”</w:t>
      </w:r>
    </w:p>
    <w:p>
      <w:pPr>
        <w:pStyle w:val="Standard"/>
        <w:widowControl w:val="false"/>
        <w:spacing w:before="0" w:after="144"/>
        <w:ind w:firstLine="700"/>
        <w:jc w:val="both"/>
        <w:rPr>
          <w:rFonts w:ascii="Trebuchet MS" w:hAnsi="Trebuchet MS"/>
          <w:i/>
          <w:i/>
          <w:iCs/>
        </w:rPr>
      </w:pPr>
      <w:r>
        <w:rPr>
          <w:rFonts w:cs="Times New Roman" w:ascii="Trebuchet MS" w:hAnsi="Trebuchet MS"/>
          <w:lang w:val="ro-RO"/>
        </w:rPr>
        <w:t>În ceea ce privește legislația internațională în materie fiscală, art.20, alin. (5), lit a) și b) din Directiva 2011/16/UE modificată prin Directiva (UE) 2018/822 a Consiliului din 25 mai 2018  referitoare la  schimbul automat obligatoriu de informații în domeniul fiscal cu privire la aranjamentele transfrontaliere care fac obiectul raportării, prevede faptul că</w:t>
      </w:r>
      <w:r>
        <w:rPr>
          <w:rFonts w:cs="Times New Roman" w:ascii="Trebuchet MS" w:hAnsi="Trebuchet MS"/>
        </w:rPr>
        <w:t xml:space="preserve"> </w:t>
      </w:r>
      <w:r>
        <w:rPr>
          <w:rFonts w:cs="Times New Roman" w:ascii="Trebuchet MS" w:hAnsi="Trebuchet MS"/>
          <w:i/>
          <w:iCs/>
        </w:rPr>
        <w:t>“</w:t>
      </w:r>
      <w:r>
        <w:rPr>
          <w:rFonts w:cs="Times New Roman" w:ascii="Trebuchet MS" w:hAnsi="Trebuchet MS"/>
          <w:b/>
          <w:bCs/>
          <w:i/>
          <w:iCs/>
          <w:lang w:val="ro-RO"/>
        </w:rPr>
        <w:t>Comisia adoptă formulare standard, inclusiv regimul lingvistic,</w:t>
      </w:r>
      <w:r>
        <w:rPr>
          <w:rFonts w:cs="Times New Roman" w:ascii="Trebuchet MS" w:hAnsi="Trebuchet MS"/>
          <w:i/>
          <w:iCs/>
          <w:lang w:val="ro-RO"/>
        </w:rPr>
        <w:t xml:space="preserve"> în conformitate cu procedura menționată la articolul 26 alineatul (2), în următoarele cazuri:(a) pentru schimbul automat de informații privind deciziile anticipate cu aplicare transfrontalieră și acordurile prealabile privind prețul de transfer, în conformitate cu articolul 8a, înainte de 1 ianuarie 2017;</w:t>
      </w:r>
      <w:r>
        <w:rPr>
          <w:rFonts w:cs="Times New Roman" w:ascii="Trebuchet MS" w:hAnsi="Trebuchet MS"/>
          <w:i/>
          <w:iCs/>
        </w:rPr>
        <w:t xml:space="preserve"> </w:t>
      </w:r>
      <w:r>
        <w:rPr>
          <w:rFonts w:cs="Times New Roman" w:ascii="Trebuchet MS" w:hAnsi="Trebuchet MS"/>
          <w:i/>
          <w:iCs/>
          <w:lang w:val="ro-RO"/>
        </w:rPr>
        <w:t>(b) pentru schimbul automat de informații privind aranjamentele transfrontaliere care fac obiectul raportării, în confor</w:t>
      </w:r>
      <w:r>
        <w:rPr>
          <w:rFonts w:ascii="Trebuchet MS" w:hAnsi="Trebuchet MS"/>
          <w:i/>
          <w:iCs/>
          <w:lang w:val="ro-RO"/>
        </w:rPr>
        <w:t>mitate cu articolul 8ab, înainte de 30 iunie 2019</w:t>
      </w:r>
      <w:r>
        <w:rPr>
          <w:rFonts w:ascii="Trebuchet MS" w:hAnsi="Trebuchet MS"/>
          <w:i/>
          <w:iCs/>
        </w:rPr>
        <w:t>”.</w:t>
      </w:r>
    </w:p>
    <w:p>
      <w:pPr>
        <w:pStyle w:val="Standard"/>
        <w:widowControl w:val="false"/>
        <w:spacing w:before="0" w:after="144"/>
        <w:ind w:firstLine="700"/>
        <w:jc w:val="both"/>
        <w:rPr>
          <w:rFonts w:ascii="Trebuchet MS" w:hAnsi="Trebuchet MS" w:cs="Times New Roman"/>
          <w:i/>
          <w:i/>
          <w:iCs/>
        </w:rPr>
      </w:pPr>
      <w:r>
        <w:rPr>
          <w:rFonts w:ascii="Trebuchet MS" w:hAnsi="Trebuchet MS"/>
        </w:rPr>
        <w:t>C</w:t>
      </w:r>
      <w:r>
        <w:rPr>
          <w:rFonts w:ascii="Trebuchet MS" w:hAnsi="Trebuchet MS"/>
          <w:lang w:val="ro-RO"/>
        </w:rPr>
        <w:t>on</w:t>
      </w:r>
      <w:r>
        <w:rPr>
          <w:rFonts w:cs="Times New Roman" w:ascii="Trebuchet MS" w:hAnsi="Trebuchet MS"/>
          <w:lang w:val="ro-RO"/>
        </w:rPr>
        <w:t xml:space="preserve">form </w:t>
      </w:r>
      <w:r>
        <w:rPr>
          <w:rFonts w:cs="Times New Roman" w:ascii="Trebuchet MS" w:hAnsi="Trebuchet MS"/>
        </w:rPr>
        <w:t>ar</w:t>
      </w:r>
      <w:r>
        <w:rPr>
          <w:rFonts w:cs="Times New Roman" w:ascii="Trebuchet MS" w:hAnsi="Trebuchet MS"/>
          <w:lang w:val="ro-RO"/>
        </w:rPr>
        <w:t>t.</w:t>
      </w:r>
      <w:r>
        <w:rPr>
          <w:rFonts w:cs="Times New Roman" w:ascii="Trebuchet MS" w:hAnsi="Trebuchet MS"/>
        </w:rPr>
        <w:t>2e, alin.(3)</w:t>
      </w:r>
      <w:r>
        <w:rPr>
          <w:rFonts w:cs="Times New Roman" w:ascii="Trebuchet MS" w:hAnsi="Trebuchet MS"/>
          <w:b/>
          <w:bCs/>
          <w:lang w:val="ro-RO"/>
        </w:rPr>
        <w:t xml:space="preserve"> </w:t>
      </w:r>
      <w:r>
        <w:rPr>
          <w:rFonts w:cs="Times New Roman" w:ascii="Trebuchet MS" w:hAnsi="Trebuchet MS"/>
          <w:lang w:val="ro-RO"/>
        </w:rPr>
        <w:t>din R</w:t>
      </w:r>
      <w:r>
        <w:rPr>
          <w:rFonts w:cs="Times New Roman" w:ascii="Trebuchet MS" w:hAnsi="Trebuchet MS"/>
        </w:rPr>
        <w:t>egulamentul de punere în aplicare (UE) 2015/2378 al comisiei</w:t>
      </w:r>
      <w:r>
        <w:rPr>
          <w:rFonts w:cs="Times New Roman" w:ascii="Trebuchet MS" w:hAnsi="Trebuchet MS"/>
          <w:lang w:val="ro-RO"/>
        </w:rPr>
        <w:t xml:space="preserve"> </w:t>
      </w:r>
      <w:r>
        <w:rPr>
          <w:rFonts w:cs="Times New Roman" w:ascii="Trebuchet MS" w:hAnsi="Trebuchet MS"/>
        </w:rPr>
        <w:t>din 15 decembrie 2015</w:t>
      </w:r>
      <w:r>
        <w:rPr>
          <w:rFonts w:cs="Times New Roman" w:ascii="Trebuchet MS" w:hAnsi="Trebuchet MS"/>
          <w:lang w:val="ro-RO"/>
        </w:rPr>
        <w:t xml:space="preserve"> </w:t>
      </w:r>
      <w:r>
        <w:rPr>
          <w:rFonts w:cs="Times New Roman" w:ascii="Trebuchet MS" w:hAnsi="Trebuchet MS"/>
        </w:rPr>
        <w:t>de stabilire a normelor de punere în aplicare a anumitor dispoziții din Directiva 2011/16/UE a Consiliului privind cooperarea administrativă în domeniul fiscal “</w:t>
      </w:r>
      <w:r>
        <w:rPr>
          <w:rFonts w:cs="Times New Roman" w:ascii="Trebuchet MS" w:hAnsi="Trebuchet MS"/>
          <w:i/>
          <w:iCs/>
        </w:rPr>
        <w:t xml:space="preserve">Elementele esențiale menționate la articolul 20 alineatul (5) al treilea paragraf din Directiva 2011/16/UE sunt elementele enumerate la articolul 8ab alineatul (14) </w:t>
      </w:r>
      <w:r>
        <w:rPr>
          <w:rFonts w:cs="Times New Roman" w:ascii="Trebuchet MS" w:hAnsi="Trebuchet MS"/>
          <w:i/>
          <w:iCs/>
          <w:lang w:val="ro-RO"/>
        </w:rPr>
        <w:t xml:space="preserve">respectiv </w:t>
      </w:r>
      <w:r>
        <w:rPr>
          <w:rFonts w:cs="Times New Roman" w:ascii="Trebuchet MS" w:hAnsi="Trebuchet MS"/>
          <w:i/>
          <w:iCs/>
        </w:rPr>
        <w:t>literele:</w:t>
      </w:r>
    </w:p>
    <w:p>
      <w:pPr>
        <w:pStyle w:val="Standard"/>
        <w:spacing w:before="0" w:after="0"/>
        <w:ind w:firstLine="697"/>
        <w:jc w:val="both"/>
        <w:rPr>
          <w:rFonts w:ascii="Trebuchet MS" w:hAnsi="Trebuchet MS" w:cs="Times New Roman"/>
          <w:i/>
          <w:i/>
          <w:iCs/>
        </w:rPr>
      </w:pPr>
      <w:r>
        <w:rPr>
          <w:rFonts w:cs="Times New Roman" w:ascii="Trebuchet MS" w:hAnsi="Trebuchet MS"/>
          <w:i/>
          <w:iCs/>
        </w:rPr>
        <w:t xml:space="preserve">c) un rezumat al conținutului modalității transfrontaliere care face obiectul raportării, inclusiv o trimitere la denumirea sub care este cunoscută de obicei, dacă aceasta există, și o descriere generală a modalităților sau activităților economice relevante, fără a duce la dezvăluirea unui secret comercial, industrial sau profesional ori a unui proces comercial ori a unor informații a căror dezvăluire ar fi contrară politicilor publice și </w:t>
      </w:r>
    </w:p>
    <w:p>
      <w:pPr>
        <w:pStyle w:val="Standard"/>
        <w:spacing w:before="0" w:after="0"/>
        <w:ind w:firstLine="697"/>
        <w:jc w:val="both"/>
        <w:rPr>
          <w:rFonts w:ascii="Trebuchet MS" w:hAnsi="Trebuchet MS" w:cs="Times New Roman"/>
          <w:i/>
          <w:i/>
          <w:iCs/>
        </w:rPr>
      </w:pPr>
      <w:r>
        <w:rPr>
          <w:rFonts w:cs="Times New Roman" w:ascii="Trebuchet MS" w:hAnsi="Trebuchet MS"/>
          <w:i/>
          <w:iCs/>
        </w:rPr>
        <w:t xml:space="preserve">e) detalii privind dispozițiile naționale care constituie baza </w:t>
      </w:r>
      <w:r>
        <w:rPr>
          <w:rFonts w:cs="Times New Roman" w:ascii="Trebuchet MS" w:hAnsi="Trebuchet MS"/>
          <w:i/>
          <w:iCs/>
          <w:lang w:val="ro-RO"/>
        </w:rPr>
        <w:t>aranjamentelor</w:t>
      </w:r>
      <w:r>
        <w:rPr>
          <w:rFonts w:cs="Times New Roman" w:ascii="Trebuchet MS" w:hAnsi="Trebuchet MS"/>
          <w:i/>
          <w:iCs/>
        </w:rPr>
        <w:t xml:space="preserve"> transfrontaliere care face obiectul raportării din directiva respectivă, </w:t>
      </w:r>
    </w:p>
    <w:p>
      <w:pPr>
        <w:pStyle w:val="Standard"/>
        <w:spacing w:before="0" w:after="0"/>
        <w:ind w:firstLine="697"/>
        <w:jc w:val="both"/>
        <w:rPr>
          <w:rFonts w:ascii="Trebuchet MS" w:hAnsi="Trebuchet MS" w:cs="Times New Roman"/>
          <w:i/>
          <w:i/>
          <w:iCs/>
        </w:rPr>
      </w:pPr>
      <w:r>
        <w:rPr>
          <w:rFonts w:cs="Times New Roman" w:ascii="Trebuchet MS" w:hAnsi="Trebuchet MS"/>
          <w:b/>
          <w:bCs/>
          <w:i/>
          <w:iCs/>
        </w:rPr>
        <w:t>iar pentru aceste elemente esențiale regimul lingvistic este același ca regimul lingvistic prevăzut la articolul 2a alineatul (3) din regulament.”</w:t>
      </w:r>
    </w:p>
    <w:p>
      <w:pPr>
        <w:pStyle w:val="Standard"/>
        <w:widowControl w:val="false"/>
        <w:spacing w:before="0" w:after="144"/>
        <w:ind w:firstLine="700"/>
        <w:jc w:val="both"/>
        <w:rPr>
          <w:rFonts w:ascii="Trebuchet MS" w:hAnsi="Trebuchet MS" w:cs="Times New Roman"/>
          <w:i/>
          <w:i/>
          <w:iCs/>
        </w:rPr>
      </w:pPr>
      <w:r>
        <w:rPr>
          <w:rFonts w:cs="Times New Roman" w:ascii="Trebuchet MS" w:hAnsi="Trebuchet MS"/>
        </w:rPr>
        <w:t xml:space="preserve">Astfel, potrivit art. 2a, alin.(3) </w:t>
      </w:r>
      <w:r>
        <w:rPr>
          <w:rFonts w:cs="Times New Roman" w:ascii="Trebuchet MS" w:hAnsi="Trebuchet MS"/>
          <w:lang w:val="ro-RO"/>
        </w:rPr>
        <w:t xml:space="preserve">din </w:t>
      </w:r>
      <w:r>
        <w:rPr>
          <w:rFonts w:cs="Times New Roman" w:ascii="Trebuchet MS" w:hAnsi="Trebuchet MS"/>
        </w:rPr>
        <w:t>Regulamentul mai sus men</w:t>
      </w:r>
      <w:r>
        <w:rPr>
          <w:rFonts w:cs="Times New Roman" w:ascii="Trebuchet MS" w:hAnsi="Trebuchet MS"/>
          <w:lang w:val="ro-RO"/>
        </w:rPr>
        <w:t>ționat</w:t>
      </w:r>
      <w:r>
        <w:rPr>
          <w:rFonts w:cs="Times New Roman" w:ascii="Trebuchet MS" w:hAnsi="Trebuchet MS"/>
        </w:rPr>
        <w:t>, “</w:t>
      </w:r>
      <w:r>
        <w:rPr>
          <w:rFonts w:cs="Times New Roman" w:ascii="Trebuchet MS" w:hAnsi="Trebuchet MS"/>
          <w:i/>
          <w:iCs/>
        </w:rPr>
        <w:t xml:space="preserve">Elementele esențiale menționate la articolul 20 alineatul (5) din Directiva 2011/16/UE sunt componentele enumerate la literele (b), (h) și (i) de la articolul 8a alineatul (6) din directiva menționată și aceste </w:t>
      </w:r>
      <w:r>
        <w:rPr>
          <w:rFonts w:cs="Times New Roman" w:ascii="Trebuchet MS" w:hAnsi="Trebuchet MS"/>
          <w:i/>
          <w:iCs/>
          <w:lang w:val="ro-RO"/>
        </w:rPr>
        <w:t xml:space="preserve">elemente esențiale se transmit </w:t>
      </w:r>
      <w:r>
        <w:rPr>
          <w:rFonts w:cs="Times New Roman" w:ascii="Trebuchet MS" w:hAnsi="Trebuchet MS"/>
          <w:b/>
          <w:bCs/>
          <w:i/>
          <w:iCs/>
          <w:lang w:val="ro-RO"/>
        </w:rPr>
        <w:t>și în limba engleză.</w:t>
      </w:r>
      <w:r>
        <w:rPr>
          <w:rFonts w:cs="Times New Roman" w:ascii="Trebuchet MS" w:hAnsi="Trebuchet MS"/>
          <w:b/>
          <w:bCs/>
          <w:i/>
          <w:iCs/>
        </w:rPr>
        <w:t>”</w:t>
      </w:r>
    </w:p>
    <w:p>
      <w:pPr>
        <w:pStyle w:val="Standard"/>
        <w:widowControl w:val="false"/>
        <w:spacing w:before="0" w:after="144"/>
        <w:ind w:firstLine="700"/>
        <w:jc w:val="both"/>
        <w:rPr>
          <w:rFonts w:ascii="Trebuchet MS" w:hAnsi="Trebuchet MS" w:eastAsia="Times New Roman" w:cs="Times New Roman"/>
          <w:lang w:val="ro-RO"/>
        </w:rPr>
      </w:pPr>
      <w:r>
        <w:rPr>
          <w:rFonts w:cs="Times New Roman" w:ascii="Trebuchet MS" w:hAnsi="Trebuchet MS"/>
          <w:lang w:val="ro-RO"/>
        </w:rPr>
        <w:t>În c</w:t>
      </w:r>
      <w:r>
        <w:rPr>
          <w:rFonts w:cs="Times New Roman" w:ascii="Trebuchet MS" w:hAnsi="Trebuchet MS"/>
        </w:rPr>
        <w:t xml:space="preserve">ontextul celor expuse, se supune aprobării Proiectul de Ordin pentru </w:t>
      </w:r>
      <w:r>
        <w:rPr>
          <w:rFonts w:ascii="Trebuchet MS" w:hAnsi="Trebuchet MS"/>
        </w:rPr>
        <w:t>modifi</w:t>
      </w:r>
      <w:r>
        <w:rPr>
          <w:rFonts w:ascii="Trebuchet MS" w:hAnsi="Trebuchet MS"/>
          <w:lang w:val="ro-RO"/>
        </w:rPr>
        <w:t>carea</w:t>
      </w:r>
      <w:r>
        <w:rPr>
          <w:rFonts w:ascii="Trebuchet MS" w:hAnsi="Trebuchet MS"/>
        </w:rPr>
        <w:t xml:space="preserve"> punct</w:t>
      </w:r>
      <w:r>
        <w:rPr>
          <w:rFonts w:ascii="Trebuchet MS" w:hAnsi="Trebuchet MS"/>
          <w:lang w:val="ro-RO"/>
        </w:rPr>
        <w:t>elor</w:t>
      </w:r>
      <w:r>
        <w:rPr>
          <w:rFonts w:ascii="Trebuchet MS" w:hAnsi="Trebuchet MS"/>
        </w:rPr>
        <w:t xml:space="preserve"> 5</w:t>
      </w:r>
      <w:r>
        <w:rPr>
          <w:rFonts w:ascii="Trebuchet MS" w:hAnsi="Trebuchet MS"/>
          <w:lang w:val="ro-RO"/>
        </w:rPr>
        <w:t xml:space="preserve"> și 6</w:t>
      </w:r>
      <w:r>
        <w:rPr>
          <w:rFonts w:ascii="Trebuchet MS" w:hAnsi="Trebuchet MS"/>
        </w:rPr>
        <w:t xml:space="preserve"> din Secțiunea II a Anexei nr.1 la Ordinul preşedintelui Agenţiei Naţionale de Administrare Fiscală  nr. 1029/2020</w:t>
      </w:r>
      <w:r>
        <w:rPr>
          <w:rFonts w:ascii="Trebuchet MS" w:hAnsi="Trebuchet MS"/>
          <w:lang w:val="ro-RO"/>
        </w:rPr>
        <w:t>, prin introducerea obligativității de raportare a unor elementele esențiale</w:t>
      </w:r>
      <w:r>
        <w:rPr>
          <w:rFonts w:eastAsia="Times New Roman" w:cs="Times New Roman" w:ascii="Trebuchet MS" w:hAnsi="Trebuchet MS"/>
        </w:rPr>
        <w:t xml:space="preserve"> în limba română și în limba engleză</w:t>
      </w:r>
      <w:r>
        <w:rPr>
          <w:rFonts w:eastAsia="Times New Roman" w:cs="Times New Roman" w:ascii="Trebuchet MS" w:hAnsi="Trebuchet MS"/>
          <w:lang w:val="ro-RO"/>
        </w:rPr>
        <w:t>.</w:t>
      </w:r>
    </w:p>
    <w:p>
      <w:pPr>
        <w:pStyle w:val="Standard"/>
        <w:spacing w:lineRule="auto" w:line="360" w:before="0" w:after="0"/>
        <w:ind w:firstLine="700" w:left="4900"/>
        <w:jc w:val="right"/>
        <w:rPr>
          <w:rFonts w:ascii="Trebuchet MS" w:hAnsi="Trebuchet MS" w:cs="Times New Roman"/>
          <w:lang w:val="ro-RO"/>
        </w:rPr>
      </w:pPr>
      <w:r>
        <w:rPr>
          <w:rFonts w:eastAsia="Times New Roman" w:cs="Times New Roman" w:ascii="Trebuchet MS" w:hAnsi="Trebuchet MS"/>
          <w:lang w:val="ro-RO"/>
        </w:rPr>
        <w:t xml:space="preserve"> </w:t>
      </w:r>
      <w:bookmarkStart w:id="0" w:name="_GoBack"/>
      <w:bookmarkEnd w:id="0"/>
    </w:p>
    <w:p>
      <w:pPr>
        <w:pStyle w:val="Standard"/>
        <w:widowControl w:val="false"/>
        <w:spacing w:before="0" w:after="144"/>
        <w:ind w:firstLine="700"/>
        <w:jc w:val="both"/>
        <w:rPr>
          <w:rFonts w:ascii="Trebuchet MS" w:hAnsi="Trebuchet MS" w:eastAsia="Times New Roman" w:cs="Times New Roman"/>
          <w:lang w:val="ro-RO"/>
        </w:rPr>
      </w:pPr>
      <w:r>
        <w:rPr>
          <w:rFonts w:eastAsia="Times New Roman" w:cs="Times New Roman" w:ascii="Trebuchet MS" w:hAnsi="Trebuchet MS"/>
          <w:lang w:val="ro-RO"/>
        </w:rPr>
      </w:r>
    </w:p>
    <w:sectPr>
      <w:type w:val="nextPage"/>
      <w:pgSz w:w="11850" w:h="16783"/>
      <w:pgMar w:left="137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Segoe UI Semilight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rebuchet MS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9"/>
  <w:autoHyphenation w:val="true"/>
  <w:hyphenationZone w:val="425"/>
  <w:compat>
    <w:doNotExpandShiftReturn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o-RO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Times New Roman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  <w:textAlignment w:val="baseline"/>
    </w:pPr>
    <w:rPr>
      <w:rFonts w:ascii="Liberation Serif" w:hAnsi="Liberation Serif" w:eastAsia="NSimSun" w:cs="Arial"/>
      <w:color w:val="auto"/>
      <w:kern w:val="2"/>
      <w:sz w:val="24"/>
      <w:szCs w:val="24"/>
      <w:lang w:eastAsia="zh-CN" w:bidi="hi-IN" w:val="en-U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odytext1" w:customStyle="1">
    <w:name w:val="Body text|1_"/>
    <w:basedOn w:val="DefaultParagraphFont"/>
    <w:link w:val="Bodytext11"/>
    <w:qFormat/>
    <w:rPr>
      <w:rFonts w:ascii="Segoe UI Semilight" w:hAnsi="Segoe UI Semilight" w:eastAsia="Segoe UI Semilight" w:cs="Segoe UI Semilight"/>
      <w:color w:val="333333"/>
      <w:sz w:val="20"/>
      <w:u w:val="none"/>
    </w:rPr>
  </w:style>
  <w:style w:type="character" w:styleId="Bodytext4" w:customStyle="1">
    <w:name w:val="Body text|4_"/>
    <w:basedOn w:val="DefaultParagraphFont"/>
    <w:link w:val="Bodytext41"/>
    <w:qFormat/>
    <w:rPr>
      <w:rFonts w:ascii="Arial" w:hAnsi="Arial" w:eastAsia="Arial" w:cs="Arial"/>
      <w:sz w:val="16"/>
      <w:u w:val="none"/>
    </w:rPr>
  </w:style>
  <w:style w:type="character" w:styleId="Headerorfooter2" w:customStyle="1">
    <w:name w:val="Header or footer|2_"/>
    <w:basedOn w:val="DefaultParagraphFont"/>
    <w:link w:val="Headerorfooter21"/>
    <w:qFormat/>
    <w:rPr>
      <w:sz w:val="20"/>
      <w:u w:val="none"/>
    </w:rPr>
  </w:style>
  <w:style w:type="paragraph" w:styleId="Heading" w:customStyle="1">
    <w:name w:val="Heading"/>
    <w:basedOn w:val="Standard"/>
    <w:next w:val="Textbody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qFormat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Standard"/>
    <w:qFormat/>
    <w:pPr>
      <w:suppressLineNumbers/>
    </w:pPr>
    <w:rPr/>
  </w:style>
  <w:style w:type="paragraph" w:styleId="Caption1">
    <w:name w:val="caption1"/>
    <w:basedOn w:val="Standard"/>
    <w:next w:val="Normal"/>
    <w:qFormat/>
    <w:pPr>
      <w:suppressLineNumbers/>
      <w:spacing w:before="120" w:after="120"/>
    </w:pPr>
    <w:rPr>
      <w:i/>
      <w:iCs/>
    </w:rPr>
  </w:style>
  <w:style w:type="paragraph" w:styleId="Standard" w:customStyle="1">
    <w:name w:val="Standard"/>
    <w:qFormat/>
    <w:pPr>
      <w:widowControl/>
      <w:suppressAutoHyphens w:val="true"/>
      <w:bidi w:val="0"/>
      <w:spacing w:lineRule="auto" w:line="259" w:before="0" w:after="160"/>
      <w:jc w:val="left"/>
      <w:textAlignment w:val="baseline"/>
    </w:pPr>
    <w:rPr>
      <w:rFonts w:ascii="Liberation Serif" w:hAnsi="Liberation Serif" w:eastAsia="NSimSun" w:cs="Arial"/>
      <w:color w:val="auto"/>
      <w:kern w:val="2"/>
      <w:sz w:val="24"/>
      <w:szCs w:val="24"/>
      <w:lang w:eastAsia="zh-CN" w:bidi="hi-IN" w:val="en-US"/>
    </w:rPr>
  </w:style>
  <w:style w:type="paragraph" w:styleId="Textbody" w:customStyle="1">
    <w:name w:val="Text body"/>
    <w:basedOn w:val="Standard"/>
    <w:qFormat/>
    <w:pPr>
      <w:spacing w:lineRule="auto" w:line="276" w:before="0" w:after="140"/>
    </w:pPr>
    <w:rPr/>
  </w:style>
  <w:style w:type="paragraph" w:styleId="Bodytext11" w:customStyle="1">
    <w:name w:val="Body text|1"/>
    <w:basedOn w:val="Normal"/>
    <w:link w:val="Bodytext1"/>
    <w:qFormat/>
    <w:pPr>
      <w:widowControl w:val="false"/>
      <w:spacing w:before="0" w:after="200"/>
    </w:pPr>
    <w:rPr>
      <w:rFonts w:ascii="Segoe UI Semilight" w:hAnsi="Segoe UI Semilight" w:eastAsia="Segoe UI Semilight" w:cs="Segoe UI Semilight"/>
      <w:color w:val="333333"/>
      <w:sz w:val="20"/>
    </w:rPr>
  </w:style>
  <w:style w:type="paragraph" w:styleId="Bodytext41" w:customStyle="1">
    <w:name w:val="Body text|4"/>
    <w:basedOn w:val="Normal"/>
    <w:link w:val="Bodytext4"/>
    <w:qFormat/>
    <w:pPr>
      <w:widowControl w:val="false"/>
    </w:pPr>
    <w:rPr>
      <w:rFonts w:ascii="Arial" w:hAnsi="Arial" w:eastAsia="Arial"/>
      <w:sz w:val="16"/>
    </w:rPr>
  </w:style>
  <w:style w:type="paragraph" w:styleId="Headerorfooter21" w:customStyle="1">
    <w:name w:val="Header or footer|2"/>
    <w:basedOn w:val="Normal"/>
    <w:link w:val="Headerorfooter2"/>
    <w:qFormat/>
    <w:pPr>
      <w:widowControl w:val="false"/>
    </w:pPr>
    <w:rPr>
      <w:sz w:val="20"/>
    </w:rPr>
  </w:style>
  <w:style w:type="paragraph" w:styleId="FrameContents">
    <w:name w:val="Frame Contents"/>
    <w:basedOn w:val="Normal"/>
    <w:qFormat/>
    <w:pPr/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qFormat/>
    <w:rsid w:val="00970ad4"/>
    <w:pPr>
      <w:spacing w:after="0" w:line="240" w:lineRule="auto"/>
    </w:pPr>
    <w:rPr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LibreOffice/7.6.5.2$Windows_X86_64 LibreOffice_project/38d5f62f85355c192ef5f1dd47c5c0c0c6d6598b</Application>
  <AppVersion>15.0000</AppVersion>
  <Pages>2</Pages>
  <Words>657</Words>
  <Characters>4176</Characters>
  <CharactersWithSpaces>4829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2025-03-14T08:41:00Z</dcterms:created>
  <dc:creator>ALINA-PETRUŢA SCHNEIDER</dc:creator>
  <dc:description/>
  <dc:language>en-US</dc:language>
  <cp:lastModifiedBy/>
  <cp:lastPrinted>2025-03-18T08:09:00Z</cp:lastPrinted>
  <dcterms:modified xsi:type="dcterms:W3CDTF">2025-03-18T10:28:50Z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1033-11.2.0.9148</vt:lpwstr>
  </property>
</Properties>
</file>