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994" w:rsidRDefault="00E9056C">
      <w:pPr>
        <w:wordWrap w:val="0"/>
        <w:jc w:val="right"/>
        <w:rPr>
          <w:rFonts w:ascii="Times New Roman" w:eastAsia="Times New Roman CE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Anexa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nr.1</w:t>
      </w:r>
    </w:p>
    <w:p w:rsidR="00F73994" w:rsidRDefault="00F73994">
      <w:pPr>
        <w:jc w:val="center"/>
        <w:rPr>
          <w:rFonts w:ascii="Times New Roman" w:eastAsia="Times New Roman CE" w:hAnsi="Times New Roman" w:cs="Times New Roman"/>
          <w:b/>
          <w:sz w:val="24"/>
          <w:szCs w:val="24"/>
        </w:rPr>
      </w:pPr>
    </w:p>
    <w:p w:rsidR="00F73994" w:rsidRDefault="00E9056C">
      <w:pPr>
        <w:jc w:val="center"/>
        <w:rPr>
          <w:rFonts w:ascii="Times New Roman" w:eastAsia="Times New Roman CE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b/>
          <w:sz w:val="24"/>
          <w:szCs w:val="24"/>
        </w:rPr>
        <w:t>P</w:t>
      </w:r>
      <w:r>
        <w:rPr>
          <w:rFonts w:ascii="Times New Roman" w:eastAsia="Times New Roman CE" w:hAnsi="Times New Roman" w:cs="Times New Roman"/>
          <w:b/>
          <w:sz w:val="24"/>
          <w:szCs w:val="24"/>
          <w:lang w:val="ro-RO"/>
        </w:rPr>
        <w:t xml:space="preserve">rocedura și condițiile de înregistrare </w:t>
      </w:r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reprezentanţilor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persoanelor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juridice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străine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prevăzute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la art.46^2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alin</w:t>
      </w:r>
      <w:proofErr w:type="spellEnd"/>
      <w:proofErr w:type="gramStart"/>
      <w:r>
        <w:rPr>
          <w:rFonts w:ascii="Times New Roman" w:eastAsia="Times New Roman CE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1^1)</w:t>
      </w:r>
      <w:r>
        <w:rPr>
          <w:rFonts w:ascii="Times New Roman" w:eastAsia="Times New Roman" w:hAnsi="Times New Roman" w:cs="Times New Roman"/>
          <w:b/>
          <w:color w:val="5B9BD5" w:themeColor="accent1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din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Legea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nr.227/2015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Codul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fiscal, cu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modificările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completările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ulterioare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 CE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care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sunt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obligate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calculeze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declare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b/>
          <w:sz w:val="24"/>
          <w:szCs w:val="24"/>
        </w:rPr>
        <w:t>plătească</w:t>
      </w:r>
      <w:proofErr w:type="spellEnd"/>
      <w:r>
        <w:rPr>
          <w:rFonts w:ascii="Times New Roman" w:eastAsia="Times New Roman CE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b/>
          <w:sz w:val="24"/>
          <w:szCs w:val="24"/>
          <w:lang w:val="ro-RO"/>
        </w:rPr>
        <w:t>impozitul specific pe cifra de afaceri prevăzut la art.46^2 din Codul fiscal</w:t>
      </w:r>
    </w:p>
    <w:p w:rsidR="00F73994" w:rsidRDefault="00F73994">
      <w:pPr>
        <w:rPr>
          <w:rFonts w:ascii="Times New Roman" w:eastAsia="Times New Roman CE" w:hAnsi="Times New Roman" w:cs="Times New Roman"/>
          <w:sz w:val="24"/>
          <w:szCs w:val="24"/>
        </w:rPr>
      </w:pP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1. (1)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aplică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 în cazul p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ersoanelor juridice străine prevăzute la art.46^2 alin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1^1) din Legea nr.227/2015 privind Codul fiscal, cu modificările și completările ulterioare,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denumite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 continuare contribuabili nerezidenți,</w:t>
      </w:r>
      <w:r>
        <w:rPr>
          <w:rFonts w:ascii="Times New Roman" w:eastAsia="Times New Roman" w:hAnsi="Times New Roman" w:cs="Times New Roman"/>
          <w:bCs/>
          <w:color w:val="5B9BD5" w:themeColor="accent1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care, potrivit legii, optează sau sunt obligate să desemneze </w:t>
      </w:r>
      <w:r>
        <w:rPr>
          <w:rFonts w:ascii="Times New Roman" w:eastAsia="Times New Roman CE" w:hAnsi="Times New Roman" w:cs="Times New Roman"/>
          <w:sz w:val="24"/>
          <w:szCs w:val="24"/>
        </w:rPr>
        <w:t>un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îndeplinirea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ilor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pentru calcularea, declararea și plata impozitului,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precum și pentru constituirea de garanții</w:t>
      </w:r>
      <w:r>
        <w:rPr>
          <w:rFonts w:ascii="Times New Roman" w:eastAsia="Times New Roman CE" w:hAnsi="Times New Roman" w:cs="Times New Roman"/>
          <w:sz w:val="24"/>
          <w:szCs w:val="24"/>
        </w:rPr>
        <w:t>.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(2)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căror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îndeplinire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persoanele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juridice străine sunt obligate sau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pot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opta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desemnarea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unui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prezentei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cele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prevăzute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art.46^2 din Legea nr.227/2015 privind Codul fiscal, cu modificările și completările ulterioare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denumită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continuare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Codul fiscal</w:t>
      </w:r>
      <w:r>
        <w:rPr>
          <w:rFonts w:ascii="Times New Roman" w:eastAsia="Times New Roman CE" w:hAnsi="Times New Roman" w:cs="Times New Roman"/>
          <w:sz w:val="24"/>
          <w:szCs w:val="24"/>
        </w:rPr>
        <w:t>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2. (1)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aplică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compartimentul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atribuţii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domeniul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înregistrării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denumit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continuare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compartiment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specialitate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din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competent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administrarea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contribuabilului</w:t>
      </w:r>
      <w:r>
        <w:rPr>
          <w:rFonts w:ascii="Times New Roman" w:eastAsia="Times New Roman CE" w:hAnsi="Times New Roman" w:cs="Times New Roman"/>
          <w:color w:val="C00000"/>
          <w:sz w:val="24"/>
          <w:szCs w:val="24"/>
          <w:lang w:val="ro-RO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nerezident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reglementărilor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legale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vigoare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F464AB3" wp14:editId="76ACABC9">
                <wp:simplePos x="0" y="0"/>
                <wp:positionH relativeFrom="column">
                  <wp:posOffset>1162050</wp:posOffset>
                </wp:positionH>
                <wp:positionV relativeFrom="paragraph">
                  <wp:posOffset>22225</wp:posOffset>
                </wp:positionV>
                <wp:extent cx="4514850" cy="10541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9056C" w:rsidRPr="00E9056C" w:rsidRDefault="00E9056C" w:rsidP="00E9056C">
                            <w:pPr>
                              <w:rPr>
                                <w:b/>
                                <w:bCs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056C">
                              <w:rPr>
                                <w:b/>
                                <w:bCs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PROIECT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64A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1.5pt;margin-top:1.75pt;width:355.5pt;height:83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" filled="f" stroked="f" strokeweight=".5pt">
                <v:textbox>
                  <w:txbxContent>
                    <w:p w:rsidR="00E9056C" w:rsidRPr="00E9056C" w:rsidRDefault="00E9056C" w:rsidP="00E9056C">
                      <w:pPr>
                        <w:rPr>
                          <w:b/>
                          <w:bCs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9056C">
                        <w:rPr>
                          <w:b/>
                          <w:bCs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PROIECT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   (2)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situaţia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contribuabilul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</w:t>
      </w:r>
      <w:r>
        <w:rPr>
          <w:rFonts w:ascii="Times New Roman" w:eastAsia="Times New Roman CE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înregistrat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la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Administraţia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contribuabili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nerezidenţi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organ fiscal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organ fiscal competent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administrarea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impozitul specific pe cifra de afaceri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datorat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contribuabilul nerezident.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(3)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situaţia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 contribuabilul nerezident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-a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desemnat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împuternicit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art.18 din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Legea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nr.207/2015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Codul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cu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modificările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completările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ulterioare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Codul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condiţiile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titlului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VII "Taxa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valoarea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adăugată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"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titlului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VIII "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Accize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taxe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" din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Codul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după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caz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competent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cărui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evidenţă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înregistrat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împuternicitul, respectiv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organ fiscal competent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administrarea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impozitul specific pe cifra de afaceri.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(1)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situaţia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contribuabilul nerezident</w:t>
      </w:r>
      <w:r>
        <w:rPr>
          <w:rFonts w:ascii="Times New Roman" w:eastAsia="Times New Roman CE" w:hAnsi="Times New Roman" w:cs="Times New Roman"/>
          <w:b/>
          <w:color w:val="5B9BD5" w:themeColor="accent1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care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datorează impozitul specific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înregistrat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România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acesta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trebuie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solicite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înregistrarea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condiţiile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prevăzute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titlul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IV "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Înregistrarea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" din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Codul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depunerea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formularului </w:t>
      </w:r>
      <w:r>
        <w:rPr>
          <w:rFonts w:ascii="Times New Roman" w:eastAsia="Times New Roman CE" w:hAnsi="Times New Roman"/>
          <w:sz w:val="24"/>
          <w:szCs w:val="24"/>
          <w:lang w:val="ro-RO"/>
        </w:rPr>
        <w:t>015 ”Declaraţie de înregistrare fiscală/declaraţie de menţiuni/declaraţie de radiere pentru contribuabilii nerezidenţi care nu au sediu permanent în România”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reglementărilor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legale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vigoare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.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(2). Organul fiscal competent pentru administrarea contribuabilului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</w:t>
      </w:r>
      <w:r>
        <w:rPr>
          <w:rFonts w:ascii="Times New Roman" w:eastAsia="Times New Roman CE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e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ste organul fiscal în a cărui evidență fiscală este înregistrat reprezentantul desemnat. 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>4. (1)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 Contribuabilul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</w:t>
      </w:r>
      <w:r>
        <w:rPr>
          <w:rFonts w:ascii="Times New Roman" w:eastAsia="Times New Roman CE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calculeze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declare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plătească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impozitul specific pe cifra de afaceri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să constituie garanții, care optează sau este obligat să desemneze un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 potrivit art.46^2 alin</w:t>
      </w:r>
      <w:proofErr w:type="gramStart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.(</w:t>
      </w:r>
      <w:proofErr w:type="gram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13) din Legea nr.227/2015 privind Codul fiscal,</w:t>
      </w:r>
      <w:r>
        <w:rPr>
          <w:rFonts w:ascii="Times New Roman" w:eastAsia="Times New Roman CE" w:hAnsi="Times New Roman" w:cs="Times New Roman"/>
          <w:color w:val="5B9BD5" w:themeColor="accent1"/>
          <w:sz w:val="24"/>
          <w:szCs w:val="24"/>
          <w:lang w:val="ro-RO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cu modificările și completările ulterioare,</w:t>
      </w:r>
      <w:r>
        <w:rPr>
          <w:rFonts w:ascii="Times New Roman" w:eastAsia="Times New Roman CE" w:hAnsi="Times New Roman" w:cs="Times New Roman"/>
          <w:color w:val="5B9BD5" w:themeColor="accent1"/>
          <w:sz w:val="24"/>
          <w:szCs w:val="24"/>
          <w:lang w:val="ro-RO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depune o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cerere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competent.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lastRenderedPageBreak/>
        <w:t xml:space="preserve">(2)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Poate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desemnat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orice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persoană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juridică română cu domiciliul fiscal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România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, care are îndeplinite toate obligațiile declarative, potrivit vectorului fiscal și care nu se află în inactivitate fiscală potrivit Codului de procedură fiscală.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(3) Nu 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admite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decât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un</w:t>
      </w:r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singur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ansamblul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revin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potrivit art.46^2 din Codul fiscal.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5.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Cererea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desemnare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potrivit art.46^2 alin</w:t>
      </w:r>
      <w:proofErr w:type="gramStart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.(</w:t>
      </w:r>
      <w:proofErr w:type="gram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13) din Legea nr.227/2015 privind Codul fiscal, cu modificările și completările ulterioare, 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depune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însoţită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următoarele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documente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: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actul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împuternicire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din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rezulte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mod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expres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calitatea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îndeplinirea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revin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contribuabilului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</w:t>
      </w:r>
      <w:r>
        <w:rPr>
          <w:rFonts w:ascii="Times New Roman" w:eastAsia="Times New Roman CE" w:hAnsi="Times New Roman" w:cs="Times New Roman"/>
          <w:sz w:val="24"/>
          <w:szCs w:val="24"/>
        </w:rPr>
        <w:t>;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50D47837" wp14:editId="0214A64F">
                <wp:simplePos x="0" y="0"/>
                <wp:positionH relativeFrom="column">
                  <wp:posOffset>1123950</wp:posOffset>
                </wp:positionH>
                <wp:positionV relativeFrom="paragraph">
                  <wp:posOffset>525145</wp:posOffset>
                </wp:positionV>
                <wp:extent cx="4514850" cy="10541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9056C" w:rsidRPr="00E9056C" w:rsidRDefault="00E9056C" w:rsidP="00E9056C">
                            <w:pPr>
                              <w:rPr>
                                <w:b/>
                                <w:bCs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056C">
                              <w:rPr>
                                <w:b/>
                                <w:bCs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PROIECT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47837" id="Text Box 6" o:spid="_x0000_s1027" type="#_x0000_t202" style="position:absolute;left:0;text-align:left;margin-left:88.5pt;margin-top:41.35pt;width:355.5pt;height:83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" filled="f" stroked="f" strokeweight=".5pt">
                <v:textbox>
                  <w:txbxContent>
                    <w:p w:rsidR="00E9056C" w:rsidRPr="00E9056C" w:rsidRDefault="00E9056C" w:rsidP="00E9056C">
                      <w:pPr>
                        <w:rPr>
                          <w:b/>
                          <w:bCs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9056C">
                        <w:rPr>
                          <w:b/>
                          <w:bCs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PROIECT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acceptul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scris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persoanei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propuse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angajează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îndeplinească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care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revin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conform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art.46^2 din Codul fiscal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răspundă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solidar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cu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contribuabilul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 xml:space="preserve">nerezident,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declararea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plata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impozitului specific pe cifra de afaceri.</w:t>
      </w:r>
      <w:r w:rsidRPr="00E9056C">
        <w:rPr>
          <w:rFonts w:ascii="Times New Roman" w:eastAsia="Times New Roman CE" w:hAnsi="Times New Roman" w:cs="Times New Roman"/>
          <w:b/>
          <w:noProof/>
          <w:sz w:val="24"/>
          <w:szCs w:val="24"/>
        </w:rPr>
        <w:t xml:space="preserve"> </w:t>
      </w:r>
    </w:p>
    <w:p w:rsidR="00F73994" w:rsidRDefault="00E9056C">
      <w:pPr>
        <w:ind w:firstLine="48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6.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(1)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Compartimentul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specialitate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competent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verifică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îndeplinirea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condiţiilor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prevăzute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la pct.4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și documentele depuse conform pct.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5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termen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cel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zile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la data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primirii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cererii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 de desemnare a reprezentantului potrivit art.46^2 alin.(13) din Codul fiscal,</w:t>
      </w:r>
      <w:r>
        <w:rPr>
          <w:rFonts w:ascii="Times New Roman" w:eastAsia="Times New Roman CE" w:hAnsi="Times New Roman" w:cs="Times New Roman"/>
          <w:color w:val="5B9BD5" w:themeColor="accent1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comunică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decizia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luată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, motivată,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în cazul respingerii,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atât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contribuabilului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nerezident,</w:t>
      </w:r>
      <w:r>
        <w:rPr>
          <w:rFonts w:ascii="Times New Roman" w:eastAsia="Times New Roman CE" w:hAnsi="Times New Roman" w:cs="Times New Roman"/>
          <w:b/>
          <w:color w:val="5B9BD5" w:themeColor="accent1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persoanei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propuse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, în conformitate cu prevederile art.47 din</w:t>
      </w:r>
      <w:r>
        <w:rPr>
          <w:rFonts w:ascii="Times New Roman" w:eastAsia="Times New Roman CE" w:hAnsi="Times New Roman" w:cs="Times New Roman"/>
          <w:color w:val="C00000"/>
          <w:sz w:val="24"/>
          <w:szCs w:val="24"/>
          <w:lang w:val="ro-RO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Codul de procedură fiscală</w:t>
      </w:r>
      <w:r>
        <w:rPr>
          <w:rFonts w:ascii="Times New Roman" w:eastAsia="Times New Roman CE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Modelul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conţinutul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deciziei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sunt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prevăzute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anexa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nr.2 la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ordin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73994" w:rsidRDefault="00E9056C">
      <w:pPr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     (2)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Decizia organului fiscal poate fi contestată în conformitate cu prevederile art.</w:t>
      </w:r>
      <w:r>
        <w:rPr>
          <w:rFonts w:ascii="Times New Roman" w:eastAsia="Times New Roman CE" w:hAnsi="Times New Roman" w:cs="Times New Roman"/>
          <w:sz w:val="24"/>
          <w:szCs w:val="24"/>
        </w:rPr>
        <w:t>26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8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alin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.(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1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din Codul de procedură fiscală.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7. (1)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Compartimentul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specialitate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organizează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intermediul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sistemului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informatic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o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evidenţă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înscriu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persoanele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acceptate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reprezentanţi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evidenţă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pusă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dispoziţia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celorlalte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structuri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atribuţii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administrarea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impozitul specific pe cifra de afaceri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, din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organelor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(2)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Evidenţa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reprezentanţilor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desemnați potrivit art.46^2 alin</w:t>
      </w:r>
      <w:proofErr w:type="gramStart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.(</w:t>
      </w:r>
      <w:proofErr w:type="gram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13) din Codul fiscal,</w:t>
      </w:r>
      <w:r>
        <w:rPr>
          <w:rFonts w:ascii="Times New Roman" w:eastAsia="Times New Roman CE" w:hAnsi="Times New Roman" w:cs="Times New Roman"/>
          <w:color w:val="5B9BD5" w:themeColor="accent1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conţine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următoarele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: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datele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identificare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denumire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codul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identificare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persoanei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desemnate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acceptate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fiscal;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datele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identificare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denumir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ea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codul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identificare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ale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contribuabilului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nerezident,</w:t>
      </w:r>
      <w:r>
        <w:rPr>
          <w:rFonts w:ascii="Times New Roman" w:eastAsia="Times New Roman CE" w:hAnsi="Times New Roman" w:cs="Times New Roman"/>
          <w:b/>
          <w:color w:val="5B9BD5" w:themeColor="accent1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acceptat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;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c)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numărul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deciziei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aprobat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cererea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desemnare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;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d) </w:t>
      </w:r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data</w:t>
      </w:r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de la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începe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mandatul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încetării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acestuia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. Data de la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începe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mandatul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comunicării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deciziei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acceptare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dată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ulterioară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stabilită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împuternicire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depus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8.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Evidenţa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actualizează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permanent cu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reprezentanţii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acceptaţi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informaţii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încetarea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mandatelor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reprezentanţi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.    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9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. (1)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situaţia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mandatul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încetează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contribuabilul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nerezident,</w:t>
      </w:r>
      <w:r>
        <w:rPr>
          <w:rFonts w:ascii="Times New Roman" w:eastAsia="Times New Roman CE" w:hAnsi="Times New Roman" w:cs="Times New Roman"/>
          <w:b/>
          <w:color w:val="5B9BD5" w:themeColor="accent1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trebuie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să</w:t>
      </w:r>
      <w:proofErr w:type="spellEnd"/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anunţe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scris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 competent cu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mandatul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încetat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.</w:t>
      </w:r>
    </w:p>
    <w:p w:rsidR="00F73994" w:rsidRDefault="00E9056C">
      <w:pPr>
        <w:ind w:firstLine="480"/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/>
          <w:sz w:val="24"/>
          <w:szCs w:val="24"/>
          <w:lang w:val="ro-RO"/>
        </w:rPr>
        <w:lastRenderedPageBreak/>
        <w:t>(2)</w:t>
      </w:r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situația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mandatul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reprezentantului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încetează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dar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/>
          <w:sz w:val="24"/>
          <w:szCs w:val="24"/>
          <w:lang w:val="ro-RO"/>
        </w:rPr>
        <w:t xml:space="preserve">contribuabilul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nerezident,</w:t>
      </w:r>
      <w:r>
        <w:rPr>
          <w:rFonts w:ascii="Times New Roman" w:eastAsia="Times New Roman CE" w:hAnsi="Times New Roman" w:cs="Times New Roman"/>
          <w:b/>
          <w:color w:val="5B9BD5" w:themeColor="accent1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continuă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activitatea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economică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România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care </w:t>
      </w:r>
      <w:r>
        <w:rPr>
          <w:rFonts w:ascii="Times New Roman" w:eastAsia="Times New Roman CE" w:hAnsi="Times New Roman"/>
          <w:sz w:val="24"/>
          <w:szCs w:val="24"/>
          <w:lang w:val="ro-RO"/>
        </w:rPr>
        <w:t>datorează impozitul specific pe cifra de afaceri,</w:t>
      </w:r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acesta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este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obligat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fie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prelungească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mandatul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reprezentantului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, fie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mandateze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alt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, fie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să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înregistreze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direct</w:t>
      </w:r>
      <w:r>
        <w:rPr>
          <w:rFonts w:ascii="Times New Roman" w:eastAsia="Times New Roman CE" w:hAnsi="Times New Roman"/>
          <w:sz w:val="24"/>
          <w:szCs w:val="24"/>
          <w:lang w:val="ro-RO"/>
        </w:rPr>
        <w:t>, dacă este</w:t>
      </w:r>
      <w:r>
        <w:rPr>
          <w:rFonts w:ascii="Times New Roman" w:eastAsia="Times New Roman CE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persoană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/>
          <w:sz w:val="24"/>
          <w:szCs w:val="24"/>
          <w:lang w:val="ro-RO"/>
        </w:rPr>
        <w:t>juridică străină</w:t>
      </w:r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stabilită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Uniunea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/>
          <w:sz w:val="24"/>
          <w:szCs w:val="24"/>
        </w:rPr>
        <w:t>Europeană</w:t>
      </w:r>
      <w:proofErr w:type="spellEnd"/>
      <w:r>
        <w:rPr>
          <w:rFonts w:ascii="Times New Roman" w:eastAsia="Times New Roman CE" w:hAnsi="Times New Roman"/>
          <w:sz w:val="24"/>
          <w:szCs w:val="24"/>
        </w:rPr>
        <w:t>.</w:t>
      </w:r>
    </w:p>
    <w:p w:rsidR="00F73994" w:rsidRDefault="00E9056C">
      <w:pPr>
        <w:rPr>
          <w:rFonts w:ascii="Times New Roman" w:eastAsia="Times New Roman CE" w:hAnsi="Times New Roman" w:cs="Times New Roman"/>
          <w:sz w:val="24"/>
          <w:szCs w:val="24"/>
        </w:rPr>
      </w:pPr>
      <w:r>
        <w:rPr>
          <w:rFonts w:ascii="Times New Roman" w:eastAsia="Times New Roman CE" w:hAnsi="Times New Roman" w:cs="Times New Roman"/>
          <w:sz w:val="24"/>
          <w:szCs w:val="24"/>
        </w:rPr>
        <w:t xml:space="preserve">    (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3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situaţia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 contribuabilul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</w:t>
      </w:r>
      <w:r>
        <w:rPr>
          <w:rFonts w:ascii="Times New Roman" w:eastAsia="Times New Roman CE" w:hAnsi="Times New Roman" w:cs="Times New Roman"/>
          <w:b/>
          <w:color w:val="5B9BD5" w:themeColor="accent1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desemnează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 CE" w:hAnsi="Times New Roman" w:cs="Times New Roman"/>
          <w:sz w:val="24"/>
          <w:szCs w:val="24"/>
        </w:rPr>
        <w:t>un</w:t>
      </w:r>
      <w:proofErr w:type="gramEnd"/>
      <w:r>
        <w:rPr>
          <w:rFonts w:ascii="Times New Roman" w:eastAsia="Times New Roman CE" w:hAnsi="Times New Roman" w:cs="Times New Roman"/>
          <w:sz w:val="24"/>
          <w:szCs w:val="24"/>
        </w:rPr>
        <w:t xml:space="preserve"> alt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sau prelungește mandatul reprezentantului deja desemnat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scopul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îndeplinirii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obligaţiilor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prevăzute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art.46^2 din Codul fiscal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dispoziţiile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prezentei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aplicabile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mod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corespunzător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>.</w:t>
      </w:r>
    </w:p>
    <w:p w:rsidR="00F73994" w:rsidRDefault="00E9056C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 CE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2679FE85" wp14:editId="3125F488">
                <wp:simplePos x="0" y="0"/>
                <wp:positionH relativeFrom="column">
                  <wp:posOffset>1123950</wp:posOffset>
                </wp:positionH>
                <wp:positionV relativeFrom="paragraph">
                  <wp:posOffset>2020570</wp:posOffset>
                </wp:positionV>
                <wp:extent cx="4514850" cy="10541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9056C" w:rsidRPr="00E9056C" w:rsidRDefault="00E9056C" w:rsidP="00E9056C">
                            <w:pPr>
                              <w:rPr>
                                <w:b/>
                                <w:bCs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056C">
                              <w:rPr>
                                <w:b/>
                                <w:bCs/>
                                <w:color w:val="F7CAAC" w:themeColor="accent2" w:themeTint="66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PROIECT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9FE85" id="Text Box 7" o:spid="_x0000_s1028" type="#_x0000_t202" style="position:absolute;left:0;text-align:left;margin-left:88.5pt;margin-top:159.1pt;width:355.5pt;height:83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" filled="f" stroked="f" strokeweight=".5pt">
                <v:textbox>
                  <w:txbxContent>
                    <w:p w:rsidR="00E9056C" w:rsidRPr="00E9056C" w:rsidRDefault="00E9056C" w:rsidP="00E9056C">
                      <w:pPr>
                        <w:rPr>
                          <w:b/>
                          <w:bCs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9056C">
                        <w:rPr>
                          <w:b/>
                          <w:bCs/>
                          <w:color w:val="F7CAAC" w:themeColor="accent2" w:themeTint="66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PROIECT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    1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0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situaţia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competenţa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administrare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fiscală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 xml:space="preserve">contribuabilului </w:t>
      </w:r>
      <w:r>
        <w:rPr>
          <w:rFonts w:ascii="Times New Roman" w:eastAsia="Times New Roman CE" w:hAnsi="Times New Roman" w:cs="Times New Roman"/>
          <w:bCs/>
          <w:sz w:val="24"/>
          <w:szCs w:val="24"/>
          <w:lang w:val="ro-RO"/>
        </w:rPr>
        <w:t>nerezident</w:t>
      </w:r>
      <w:r>
        <w:rPr>
          <w:rFonts w:ascii="Times New Roman" w:eastAsia="Times New Roman CE" w:hAnsi="Times New Roman" w:cs="Times New Roman"/>
          <w:b/>
          <w:color w:val="5B9BD5" w:themeColor="accent1"/>
          <w:sz w:val="24"/>
          <w:szCs w:val="24"/>
        </w:rPr>
        <w:t xml:space="preserve"> </w:t>
      </w:r>
      <w:r>
        <w:rPr>
          <w:rFonts w:ascii="Times New Roman" w:eastAsia="Times New Roman CE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schimbă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condiţiile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legii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vechiul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organ fiscal competent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transmite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noului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organ fiscal competent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informaţiile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reprezentantul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acceptat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organul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fiscal,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înscrise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evidenţa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specială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reprezentanţilor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pct.7 din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 CE" w:hAnsi="Times New Roman" w:cs="Times New Roman"/>
          <w:sz w:val="24"/>
          <w:szCs w:val="24"/>
        </w:rPr>
        <w:t>procedur</w:t>
      </w:r>
      <w:proofErr w:type="spellEnd"/>
      <w:r>
        <w:rPr>
          <w:rFonts w:ascii="Times New Roman" w:eastAsia="Times New Roman CE" w:hAnsi="Times New Roman" w:cs="Times New Roman"/>
          <w:sz w:val="24"/>
          <w:szCs w:val="24"/>
          <w:lang w:val="ro-RO"/>
        </w:rPr>
        <w:t>ă.</w:t>
      </w:r>
    </w:p>
    <w:sectPr w:rsidR="00F739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E">
    <w:altName w:val="Times New Roman"/>
    <w:panose1 w:val="02020603050405020304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B12425"/>
    <w:rsid w:val="00E9056C"/>
    <w:rsid w:val="00F73994"/>
    <w:rsid w:val="1069601F"/>
    <w:rsid w:val="14EB385A"/>
    <w:rsid w:val="17171B8E"/>
    <w:rsid w:val="18615415"/>
    <w:rsid w:val="19393C7E"/>
    <w:rsid w:val="1C012EF5"/>
    <w:rsid w:val="1E283535"/>
    <w:rsid w:val="1F2752F3"/>
    <w:rsid w:val="20E82C4F"/>
    <w:rsid w:val="21406807"/>
    <w:rsid w:val="21644EB6"/>
    <w:rsid w:val="22032C12"/>
    <w:rsid w:val="2B404F69"/>
    <w:rsid w:val="2BDE5D4B"/>
    <w:rsid w:val="2C240BC8"/>
    <w:rsid w:val="2DDB2F0C"/>
    <w:rsid w:val="2E491BC3"/>
    <w:rsid w:val="2ECE7497"/>
    <w:rsid w:val="30BF49A7"/>
    <w:rsid w:val="33912451"/>
    <w:rsid w:val="35692CBD"/>
    <w:rsid w:val="385160B0"/>
    <w:rsid w:val="413339F3"/>
    <w:rsid w:val="42F20905"/>
    <w:rsid w:val="459A479D"/>
    <w:rsid w:val="4B2D74B3"/>
    <w:rsid w:val="4B961078"/>
    <w:rsid w:val="50583690"/>
    <w:rsid w:val="57BD6A60"/>
    <w:rsid w:val="587036A5"/>
    <w:rsid w:val="58AD5F8C"/>
    <w:rsid w:val="58B46830"/>
    <w:rsid w:val="5AA50D09"/>
    <w:rsid w:val="5DC95DD1"/>
    <w:rsid w:val="5EE46233"/>
    <w:rsid w:val="5F1A37D9"/>
    <w:rsid w:val="60486A13"/>
    <w:rsid w:val="61A97520"/>
    <w:rsid w:val="627E3542"/>
    <w:rsid w:val="675862F9"/>
    <w:rsid w:val="6BCE5401"/>
    <w:rsid w:val="6CCE2548"/>
    <w:rsid w:val="6F6D073A"/>
    <w:rsid w:val="6FD34EF3"/>
    <w:rsid w:val="71217BE1"/>
    <w:rsid w:val="719C2B43"/>
    <w:rsid w:val="71DA6AD2"/>
    <w:rsid w:val="73A90EEC"/>
    <w:rsid w:val="743C2876"/>
    <w:rsid w:val="78880BE5"/>
    <w:rsid w:val="79110321"/>
    <w:rsid w:val="79C95D53"/>
    <w:rsid w:val="7BE537A3"/>
    <w:rsid w:val="7F3D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9A5205-1052-4F11-BDCC-C20452A3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eastAsia="SimSu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Gheorghiu</dc:creator>
  <cp:lastModifiedBy>DRAGOS OLTENSCHI</cp:lastModifiedBy>
  <cp:revision>2</cp:revision>
  <cp:lastPrinted>2025-02-26T10:52:00Z</cp:lastPrinted>
  <dcterms:created xsi:type="dcterms:W3CDTF">2025-03-05T13:53:00Z</dcterms:created>
  <dcterms:modified xsi:type="dcterms:W3CDTF">2025-03-05T13:53:00Z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FD6EB9EF6ABF4C3C9881273447B33D70</vt:lpwstr>
  </property>
</Properties>
</file>