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rajan Pro" w:hAnsi="Trajan Pro"/>
          <w:b/>
          <w:sz w:val="28"/>
          <w:szCs w:val="28"/>
        </w:rPr>
      </w:pPr>
      <w:r>
        <w:drawing>
          <wp:anchor distT="0" distB="0" distL="0" distR="0" simplePos="0" relativeHeight="251659264" behindDoc="0" locked="0" layoutInCell="1" allowOverlap="1">
            <wp:simplePos x="0" y="0"/>
            <wp:positionH relativeFrom="column">
              <wp:posOffset>3628390</wp:posOffset>
            </wp:positionH>
            <wp:positionV relativeFrom="paragraph">
              <wp:posOffset>183515</wp:posOffset>
            </wp:positionV>
            <wp:extent cx="2101215" cy="669290"/>
            <wp:effectExtent l="0" t="0" r="0" b="0"/>
            <wp:wrapSquare wrapText="largest"/>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8" cstate="print"/>
                    <a:srcRect l="8895" t="37459" r="12559" b="37552"/>
                    <a:stretch>
                      <a:fillRect/>
                    </a:stretch>
                  </pic:blipFill>
                  <pic:spPr>
                    <a:xfrm>
                      <a:off x="0" y="0"/>
                      <a:ext cx="2101215" cy="669290"/>
                    </a:xfrm>
                    <a:prstGeom prst="rect">
                      <a:avLst/>
                    </a:prstGeom>
                  </pic:spPr>
                </pic:pic>
              </a:graphicData>
            </a:graphic>
          </wp:anchor>
        </w:drawing>
      </w:r>
    </w:p>
    <w:p>
      <w:pPr>
        <w:rPr>
          <w:rFonts w:ascii="Trajan Pro" w:hAnsi="Trajan Pro"/>
          <w:b/>
          <w:sz w:val="28"/>
          <w:szCs w:val="28"/>
        </w:rPr>
      </w:pPr>
      <w:r>
        <w:drawing>
          <wp:anchor distT="0" distB="0" distL="114300" distR="114300" simplePos="0" relativeHeight="251660288" behindDoc="0" locked="0" layoutInCell="1" allowOverlap="1">
            <wp:simplePos x="0" y="0"/>
            <wp:positionH relativeFrom="column">
              <wp:posOffset>-998220</wp:posOffset>
            </wp:positionH>
            <wp:positionV relativeFrom="margin">
              <wp:align>top</wp:align>
            </wp:positionV>
            <wp:extent cx="899795" cy="899795"/>
            <wp:effectExtent l="0" t="0" r="0" b="0"/>
            <wp:wrapTight wrapText="bothSides">
              <wp:wrapPolygon>
                <wp:start x="6010" y="0"/>
                <wp:lineTo x="2760" y="1748"/>
                <wp:lineTo x="-497" y="5323"/>
                <wp:lineTo x="-497" y="15621"/>
                <wp:lineTo x="4624" y="20527"/>
                <wp:lineTo x="6010" y="20527"/>
                <wp:lineTo x="14445" y="20527"/>
                <wp:lineTo x="15830" y="20527"/>
                <wp:lineTo x="20989" y="15621"/>
                <wp:lineTo x="20989" y="5323"/>
                <wp:lineTo x="17704" y="1748"/>
                <wp:lineTo x="14445" y="0"/>
                <wp:lineTo x="6010"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9" cstate="print"/>
                    <a:stretch>
                      <a:fillRect/>
                    </a:stretch>
                  </pic:blipFill>
                  <pic:spPr>
                    <a:xfrm>
                      <a:off x="0" y="0"/>
                      <a:ext cx="899795" cy="899795"/>
                    </a:xfrm>
                    <a:prstGeom prst="rect">
                      <a:avLst/>
                    </a:prstGeom>
                  </pic:spPr>
                </pic:pic>
              </a:graphicData>
            </a:graphic>
          </wp:anchor>
        </w:drawing>
      </w:r>
      <w:r>
        <w:rPr>
          <w:rFonts w:ascii="Trajan Pro" w:hAnsi="Trajan Pro"/>
          <w:b/>
          <w:sz w:val="28"/>
          <w:szCs w:val="28"/>
        </w:rPr>
        <w:t xml:space="preserve">MINISTERUL FINANȚELOR       </w:t>
      </w:r>
    </w:p>
    <w:p>
      <w:pPr>
        <w:jc w:val="both"/>
        <w:rPr>
          <w:rFonts w:ascii="Trebuchet MS" w:hAnsi="Trebuchet MS" w:cs="Trebuchet MS"/>
          <w:color w:val="000000"/>
          <w:sz w:val="24"/>
          <w:lang w:val="ro-RO"/>
        </w:rPr>
      </w:pPr>
      <w:bookmarkStart w:id="0" w:name="_GoBack"/>
      <w:bookmarkEnd w:id="0"/>
    </w:p>
    <w:p>
      <w:pPr>
        <w:jc w:val="both"/>
        <w:rPr>
          <w:rFonts w:ascii="Trebuchet MS" w:hAnsi="Trebuchet MS" w:cs="Trebuchet MS"/>
          <w:color w:val="000000"/>
          <w:sz w:val="24"/>
          <w:lang w:val="ro-RO"/>
        </w:rPr>
      </w:pPr>
    </w:p>
    <w:p>
      <w:pPr>
        <w:jc w:val="both"/>
        <w:rPr>
          <w:rFonts w:ascii="Trebuchet MS" w:hAnsi="Trebuchet MS" w:cs="Trebuchet MS"/>
          <w:bCs/>
          <w:color w:val="000000"/>
          <w:sz w:val="24"/>
          <w:lang w:val="ro-RO"/>
        </w:rPr>
      </w:pPr>
      <w:r>
        <w:rPr>
          <w:rFonts w:ascii="Trebuchet MS" w:hAnsi="Trebuchet MS" w:cs="Trebuchet MS"/>
          <w:color w:val="000000"/>
          <w:sz w:val="24"/>
          <w:lang w:val="ro-RO"/>
        </w:rPr>
        <w:t xml:space="preserve">Prin </w:t>
      </w:r>
      <w:r>
        <w:rPr>
          <w:rFonts w:ascii="Trebuchet MS" w:hAnsi="Trebuchet MS" w:cs="Trebuchet MS"/>
          <w:color w:val="000000"/>
          <w:sz w:val="24"/>
        </w:rPr>
        <w:t>Ordonanț</w:t>
      </w:r>
      <w:r>
        <w:rPr>
          <w:rFonts w:ascii="Trebuchet MS" w:hAnsi="Trebuchet MS" w:cs="Trebuchet MS"/>
          <w:color w:val="000000"/>
          <w:sz w:val="24"/>
          <w:lang w:val="ro-RO"/>
        </w:rPr>
        <w:t>a</w:t>
      </w:r>
      <w:r>
        <w:rPr>
          <w:rFonts w:ascii="Trebuchet MS" w:hAnsi="Trebuchet MS" w:cs="Trebuchet MS"/>
          <w:color w:val="000000"/>
          <w:sz w:val="24"/>
        </w:rPr>
        <w:t xml:space="preserve"> de urgență a Guvernului nr.</w:t>
      </w:r>
      <w:r>
        <w:rPr>
          <w:rFonts w:ascii="Trebuchet MS" w:hAnsi="Trebuchet MS" w:cs="Trebuchet MS"/>
          <w:bCs/>
          <w:color w:val="000000"/>
          <w:sz w:val="24"/>
        </w:rPr>
        <w:t>1</w:t>
      </w:r>
      <w:r>
        <w:rPr>
          <w:rFonts w:ascii="Trebuchet MS" w:hAnsi="Trebuchet MS" w:cs="Trebuchet MS"/>
          <w:bCs/>
          <w:color w:val="000000"/>
          <w:sz w:val="24"/>
          <w:lang w:val="ro-RO"/>
        </w:rPr>
        <w:t>56</w:t>
      </w:r>
      <w:r>
        <w:rPr>
          <w:rFonts w:ascii="Trebuchet MS" w:hAnsi="Trebuchet MS" w:cs="Trebuchet MS"/>
          <w:bCs/>
          <w:color w:val="000000"/>
          <w:sz w:val="24"/>
        </w:rPr>
        <w:t>/202</w:t>
      </w:r>
      <w:r>
        <w:rPr>
          <w:rFonts w:ascii="Trebuchet MS" w:hAnsi="Trebuchet MS" w:cs="Trebuchet MS"/>
          <w:bCs/>
          <w:color w:val="000000"/>
          <w:sz w:val="24"/>
          <w:lang w:val="ro-RO"/>
        </w:rPr>
        <w:t>4</w:t>
      </w:r>
      <w:r>
        <w:rPr>
          <w:rFonts w:ascii="Trebuchet MS" w:hAnsi="Trebuchet MS" w:cs="Trebuchet MS"/>
          <w:color w:val="000000"/>
          <w:sz w:val="24"/>
        </w:rPr>
        <w:t xml:space="preserve"> </w:t>
      </w:r>
      <w:r>
        <w:rPr>
          <w:rFonts w:ascii="Trebuchet MS" w:hAnsi="Trebuchet MS" w:eastAsia="Times New Roman CE" w:cs="Trebuchet MS"/>
          <w:sz w:val="24"/>
          <w:szCs w:val="24"/>
        </w:rPr>
        <w:t>privind unele măsuri fiscal-bugetare în domeniul cheltuielilor publice pentru fundamentarea bugetului general consolidat pe anul 2025, pentru modificarea şi completarea unor acte normative, precum şi pentru prorogarea unor termene</w:t>
      </w:r>
      <w:r>
        <w:rPr>
          <w:rFonts w:ascii="Trebuchet MS" w:hAnsi="Trebuchet MS" w:cs="Trebuchet MS"/>
          <w:color w:val="000000"/>
          <w:sz w:val="24"/>
          <w:lang w:val="ro-RO"/>
        </w:rPr>
        <w:t xml:space="preserve">, </w:t>
      </w:r>
      <w:r>
        <w:rPr>
          <w:rFonts w:ascii="Trebuchet MS" w:hAnsi="Trebuchet MS" w:cs="Trebuchet MS"/>
          <w:color w:val="000000"/>
          <w:sz w:val="24"/>
        </w:rPr>
        <w:t>a</w:t>
      </w:r>
      <w:r>
        <w:rPr>
          <w:rFonts w:ascii="Trebuchet MS" w:hAnsi="Trebuchet MS" w:cs="Trebuchet MS"/>
          <w:color w:val="000000"/>
          <w:sz w:val="24"/>
          <w:lang w:val="ro-RO"/>
        </w:rPr>
        <w:t>u</w:t>
      </w:r>
      <w:r>
        <w:rPr>
          <w:rFonts w:ascii="Trebuchet MS" w:hAnsi="Trebuchet MS" w:cs="Trebuchet MS"/>
          <w:color w:val="000000"/>
          <w:sz w:val="24"/>
        </w:rPr>
        <w:t xml:space="preserve"> fost</w:t>
      </w:r>
      <w:r>
        <w:rPr>
          <w:rFonts w:ascii="Trebuchet MS" w:hAnsi="Trebuchet MS" w:cs="Trebuchet MS"/>
          <w:color w:val="000000"/>
          <w:sz w:val="24"/>
          <w:lang w:val="ro-RO"/>
        </w:rPr>
        <w:t xml:space="preserve"> preluate dispozițiile referitoare la </w:t>
      </w:r>
      <w:r>
        <w:rPr>
          <w:rFonts w:ascii="Trebuchet MS" w:hAnsi="Trebuchet MS" w:cs="Trebuchet MS"/>
          <w:color w:val="000000"/>
          <w:sz w:val="24"/>
        </w:rPr>
        <w:t>măsura „</w:t>
      </w:r>
      <w:r>
        <w:rPr>
          <w:rFonts w:ascii="Trebuchet MS" w:hAnsi="Trebuchet MS" w:cs="Trebuchet MS"/>
          <w:color w:val="000000"/>
          <w:sz w:val="24"/>
          <w:lang w:val="ro-RO"/>
        </w:rPr>
        <w:t>3</w:t>
      </w:r>
      <w:r>
        <w:rPr>
          <w:rFonts w:ascii="Trebuchet MS" w:hAnsi="Trebuchet MS" w:cs="Trebuchet MS"/>
          <w:color w:val="000000"/>
          <w:sz w:val="24"/>
        </w:rPr>
        <w:t>00 de lei din salariul minim, sumă netaxabilă” prevăzut</w:t>
      </w:r>
      <w:r>
        <w:rPr>
          <w:rFonts w:ascii="Trebuchet MS" w:hAnsi="Trebuchet MS" w:cs="Trebuchet MS"/>
          <w:color w:val="000000"/>
          <w:sz w:val="24"/>
          <w:lang w:val="ro-RO"/>
        </w:rPr>
        <w:t>e</w:t>
      </w:r>
      <w:r>
        <w:rPr>
          <w:rFonts w:ascii="Trebuchet MS" w:hAnsi="Trebuchet MS" w:cs="Trebuchet MS"/>
          <w:color w:val="000000"/>
          <w:sz w:val="24"/>
        </w:rPr>
        <w:t xml:space="preserve"> în anul 202</w:t>
      </w:r>
      <w:r>
        <w:rPr>
          <w:rFonts w:ascii="Trebuchet MS" w:hAnsi="Trebuchet MS" w:cs="Trebuchet MS"/>
          <w:color w:val="000000"/>
          <w:sz w:val="24"/>
          <w:lang w:val="ro-RO"/>
        </w:rPr>
        <w:t>4</w:t>
      </w:r>
      <w:r>
        <w:rPr>
          <w:rFonts w:ascii="Trebuchet MS" w:hAnsi="Trebuchet MS" w:cs="Trebuchet MS"/>
          <w:color w:val="000000"/>
          <w:sz w:val="24"/>
        </w:rPr>
        <w:t xml:space="preserve"> de Ordonan</w:t>
      </w:r>
      <w:r>
        <w:rPr>
          <w:rFonts w:ascii="Trebuchet MS" w:hAnsi="Trebuchet MS" w:cs="Trebuchet MS"/>
          <w:color w:val="000000"/>
          <w:sz w:val="24"/>
          <w:lang w:val="ro-RO"/>
        </w:rPr>
        <w:t>ț</w:t>
      </w:r>
      <w:r>
        <w:rPr>
          <w:rFonts w:ascii="Trebuchet MS" w:hAnsi="Trebuchet MS" w:cs="Trebuchet MS"/>
          <w:color w:val="000000"/>
          <w:sz w:val="24"/>
        </w:rPr>
        <w:t>a</w:t>
      </w:r>
      <w:r>
        <w:rPr>
          <w:rFonts w:ascii="Trebuchet MS" w:hAnsi="Trebuchet MS" w:cs="Trebuchet MS"/>
          <w:color w:val="000000"/>
          <w:sz w:val="24"/>
          <w:lang w:val="ro-RO"/>
        </w:rPr>
        <w:t xml:space="preserve"> </w:t>
      </w:r>
      <w:r>
        <w:rPr>
          <w:rFonts w:ascii="Trebuchet MS" w:hAnsi="Trebuchet MS" w:cs="Trebuchet MS"/>
          <w:bCs/>
          <w:sz w:val="24"/>
          <w:szCs w:val="24"/>
        </w:rPr>
        <w:t>de urgență a Guvernului nr.115/2023 privind unele măsuri fiscal-bugetare în domeniul cheltuielilor publice, pentru consolidare fiscală, combaterea evaziunii fiscale, pentru modificarea şi completarea unor acte normative, precum şi pentru prorogarea unor termene, cu modificările și completările ulterioare</w:t>
      </w:r>
      <w:r>
        <w:rPr>
          <w:rFonts w:ascii="Trebuchet MS" w:hAnsi="Trebuchet MS" w:cs="Trebuchet MS"/>
          <w:color w:val="000000"/>
          <w:sz w:val="24"/>
        </w:rPr>
        <w:t xml:space="preserve">, precum </w:t>
      </w:r>
      <w:r>
        <w:rPr>
          <w:rFonts w:ascii="Trebuchet MS" w:hAnsi="Trebuchet MS" w:cs="Trebuchet MS"/>
          <w:color w:val="000000"/>
          <w:sz w:val="24"/>
          <w:lang w:val="ro-RO"/>
        </w:rPr>
        <w:t>și</w:t>
      </w:r>
      <w:r>
        <w:rPr>
          <w:rFonts w:ascii="Trebuchet MS" w:hAnsi="Trebuchet MS" w:cs="Trebuchet MS"/>
          <w:color w:val="000000"/>
          <w:sz w:val="24"/>
        </w:rPr>
        <w:t xml:space="preserve"> Ordonanț</w:t>
      </w:r>
      <w:r>
        <w:rPr>
          <w:rFonts w:ascii="Trebuchet MS" w:hAnsi="Trebuchet MS" w:cs="Trebuchet MS"/>
          <w:color w:val="000000"/>
          <w:sz w:val="24"/>
          <w:lang w:val="ro-RO"/>
        </w:rPr>
        <w:t>a</w:t>
      </w:r>
      <w:r>
        <w:rPr>
          <w:rFonts w:ascii="Trebuchet MS" w:hAnsi="Trebuchet MS" w:cs="Trebuchet MS"/>
          <w:color w:val="000000"/>
          <w:sz w:val="24"/>
        </w:rPr>
        <w:t xml:space="preserve"> de urgență a Guvernului nr.59</w:t>
      </w:r>
      <w:r>
        <w:rPr>
          <w:rFonts w:ascii="Trebuchet MS" w:hAnsi="Trebuchet MS" w:cs="Trebuchet MS"/>
          <w:color w:val="000000"/>
          <w:sz w:val="24"/>
          <w:lang w:val="ro-RO"/>
        </w:rPr>
        <w:t xml:space="preserve">/2024 </w:t>
      </w:r>
      <w:r>
        <w:rPr>
          <w:rFonts w:ascii="Trebuchet MS" w:hAnsi="Trebuchet MS" w:cs="Trebuchet MS"/>
          <w:bCs/>
          <w:sz w:val="24"/>
          <w:szCs w:val="24"/>
        </w:rPr>
        <w:t>pentru modificarea și completarea Legii nr.227/2015 privind Codul fiscal, precum și</w:t>
      </w:r>
      <w:r>
        <w:rPr>
          <w:rFonts w:ascii="Trebuchet MS" w:hAnsi="Trebuchet MS" w:cs="Trebuchet MS"/>
          <w:bCs/>
          <w:sz w:val="24"/>
          <w:szCs w:val="24"/>
          <w:lang w:val="ro-RO"/>
        </w:rPr>
        <w:t xml:space="preserve"> </w:t>
      </w:r>
      <w:r>
        <w:rPr>
          <w:rFonts w:ascii="Trebuchet MS" w:hAnsi="Trebuchet MS" w:cs="Trebuchet MS"/>
          <w:bCs/>
          <w:sz w:val="24"/>
          <w:szCs w:val="24"/>
        </w:rPr>
        <w:t>alte măsuri fiscale</w:t>
      </w:r>
      <w:r>
        <w:rPr>
          <w:rFonts w:ascii="Trebuchet MS" w:hAnsi="Trebuchet MS" w:cs="Trebuchet MS"/>
          <w:color w:val="000000"/>
          <w:sz w:val="24"/>
          <w:lang w:val="ro-RO"/>
        </w:rPr>
        <w:t xml:space="preserve">. Dispozițiile se aplică </w:t>
      </w:r>
      <w:r>
        <w:rPr>
          <w:rFonts w:ascii="Trebuchet MS" w:hAnsi="Trebuchet MS" w:cs="Trebuchet MS"/>
          <w:color w:val="000000"/>
          <w:sz w:val="24"/>
        </w:rPr>
        <w:t>veniturilor aferente lunilor ianuarie - decembrie 202</w:t>
      </w:r>
      <w:r>
        <w:rPr>
          <w:rFonts w:ascii="Trebuchet MS" w:hAnsi="Trebuchet MS" w:cs="Trebuchet MS"/>
          <w:color w:val="000000"/>
          <w:sz w:val="24"/>
          <w:lang w:val="ro-RO"/>
        </w:rPr>
        <w:t>5</w:t>
      </w:r>
      <w:r>
        <w:rPr>
          <w:rFonts w:ascii="Trebuchet MS" w:hAnsi="Trebuchet MS" w:cs="Trebuchet MS"/>
          <w:color w:val="000000"/>
          <w:sz w:val="24"/>
        </w:rPr>
        <w:t xml:space="preserve"> inclusiv.</w:t>
      </w:r>
    </w:p>
    <w:p>
      <w:pPr>
        <w:jc w:val="both"/>
        <w:rPr>
          <w:rFonts w:ascii="Trebuchet MS" w:hAnsi="Trebuchet MS" w:cs="Trebuchet MS"/>
          <w:color w:val="000000"/>
          <w:sz w:val="24"/>
          <w:lang w:val="ro-RO"/>
        </w:rPr>
      </w:pPr>
      <w:r>
        <w:rPr>
          <w:rFonts w:ascii="Trebuchet MS" w:hAnsi="Trebuchet MS" w:eastAsia="SimSun" w:cs="Trebuchet MS"/>
          <w:sz w:val="24"/>
          <w:szCs w:val="24"/>
          <w:lang w:val="ro-RO"/>
        </w:rPr>
        <w:t xml:space="preserve">De asemenea, începând cu anul fiscal 2025, prin </w:t>
      </w:r>
      <w:r>
        <w:rPr>
          <w:rFonts w:ascii="Trebuchet MS" w:hAnsi="Trebuchet MS" w:cs="Trebuchet MS"/>
          <w:color w:val="000000"/>
          <w:sz w:val="24"/>
        </w:rPr>
        <w:t>Ordonanț</w:t>
      </w:r>
      <w:r>
        <w:rPr>
          <w:rFonts w:ascii="Trebuchet MS" w:hAnsi="Trebuchet MS" w:cs="Trebuchet MS"/>
          <w:color w:val="000000"/>
          <w:sz w:val="24"/>
          <w:lang w:val="ro-RO"/>
        </w:rPr>
        <w:t>a</w:t>
      </w:r>
      <w:r>
        <w:rPr>
          <w:rFonts w:ascii="Trebuchet MS" w:hAnsi="Trebuchet MS" w:cs="Trebuchet MS"/>
          <w:color w:val="000000"/>
          <w:sz w:val="24"/>
        </w:rPr>
        <w:t xml:space="preserve"> de urgență a Guvernului nr.</w:t>
      </w:r>
      <w:r>
        <w:rPr>
          <w:rFonts w:ascii="Trebuchet MS" w:hAnsi="Trebuchet MS" w:cs="Trebuchet MS"/>
          <w:bCs/>
          <w:color w:val="000000"/>
          <w:sz w:val="24"/>
        </w:rPr>
        <w:t>1</w:t>
      </w:r>
      <w:r>
        <w:rPr>
          <w:rFonts w:ascii="Trebuchet MS" w:hAnsi="Trebuchet MS" w:cs="Trebuchet MS"/>
          <w:bCs/>
          <w:color w:val="000000"/>
          <w:sz w:val="24"/>
          <w:lang w:val="ro-RO"/>
        </w:rPr>
        <w:t>56</w:t>
      </w:r>
      <w:r>
        <w:rPr>
          <w:rFonts w:ascii="Trebuchet MS" w:hAnsi="Trebuchet MS" w:cs="Trebuchet MS"/>
          <w:bCs/>
          <w:color w:val="000000"/>
          <w:sz w:val="24"/>
        </w:rPr>
        <w:t>/202</w:t>
      </w:r>
      <w:r>
        <w:rPr>
          <w:rFonts w:ascii="Trebuchet MS" w:hAnsi="Trebuchet MS" w:cs="Trebuchet MS"/>
          <w:bCs/>
          <w:color w:val="000000"/>
          <w:sz w:val="24"/>
          <w:lang w:val="ro-RO"/>
        </w:rPr>
        <w:t>4</w:t>
      </w:r>
      <w:r>
        <w:rPr>
          <w:rFonts w:ascii="Trebuchet MS" w:hAnsi="Trebuchet MS" w:eastAsia="Times New Roman CE" w:cs="Trebuchet MS"/>
          <w:sz w:val="24"/>
          <w:szCs w:val="24"/>
          <w:lang w:val="ro-RO"/>
        </w:rPr>
        <w:t>,</w:t>
      </w:r>
      <w:r>
        <w:rPr>
          <w:rFonts w:ascii="Trebuchet MS" w:hAnsi="Trebuchet MS" w:eastAsia="SimSun" w:cs="Trebuchet MS"/>
          <w:sz w:val="24"/>
          <w:szCs w:val="24"/>
          <w:lang w:val="ro-RO"/>
        </w:rPr>
        <w:t xml:space="preserve"> dispozițiile art. 60 punctele 2, 5 și 7</w:t>
      </w:r>
      <w:r>
        <w:rPr>
          <w:rFonts w:ascii="Trebuchet MS" w:hAnsi="Trebuchet MS" w:cs="Trebuchet MS"/>
          <w:color w:val="000000"/>
          <w:sz w:val="24"/>
        </w:rPr>
        <w:t xml:space="preserve"> din Codul fiscal</w:t>
      </w:r>
      <w:r>
        <w:rPr>
          <w:rFonts w:ascii="Trebuchet MS" w:hAnsi="Trebuchet MS" w:cs="Trebuchet MS"/>
          <w:color w:val="000000"/>
          <w:sz w:val="24"/>
          <w:lang w:val="ro-RO"/>
        </w:rPr>
        <w:t xml:space="preserve">, care prevedeau facilități fiscale pentru persoanele fizice </w:t>
      </w:r>
      <w:r>
        <w:rPr>
          <w:rFonts w:ascii="Trebuchet MS" w:hAnsi="Trebuchet MS" w:cs="Trebuchet MS"/>
          <w:iCs/>
          <w:color w:val="000000" w:themeColor="text1"/>
          <w:sz w:val="24"/>
          <w:szCs w:val="24"/>
          <w14:textFill>
            <w14:solidFill>
              <w14:schemeClr w14:val="tx1"/>
            </w14:solidFill>
          </w14:textFill>
        </w:rPr>
        <w:t xml:space="preserve">care desfășoară </w:t>
      </w:r>
      <w:r>
        <w:rPr>
          <w:rFonts w:ascii="Trebuchet MS" w:hAnsi="Trebuchet MS" w:eastAsia="SimSun" w:cs="Trebuchet MS"/>
          <w:sz w:val="24"/>
          <w:szCs w:val="24"/>
        </w:rPr>
        <w:t>activități de creare de</w:t>
      </w:r>
      <w:r>
        <w:rPr>
          <w:rFonts w:ascii="Trebuchet MS" w:hAnsi="Trebuchet MS" w:eastAsia="SimSun" w:cs="Trebuchet MS"/>
          <w:sz w:val="24"/>
          <w:szCs w:val="24"/>
          <w:lang w:val="ro-RO"/>
        </w:rPr>
        <w:t xml:space="preserve"> </w:t>
      </w:r>
      <w:r>
        <w:rPr>
          <w:rFonts w:ascii="Trebuchet MS" w:hAnsi="Trebuchet MS" w:eastAsia="SimSun" w:cs="Trebuchet MS"/>
          <w:sz w:val="24"/>
          <w:szCs w:val="24"/>
        </w:rPr>
        <w:t>programe pentru calculator</w:t>
      </w:r>
      <w:r>
        <w:rPr>
          <w:rFonts w:ascii="Trebuchet MS" w:hAnsi="Trebuchet MS" w:eastAsia="SimSun" w:cs="Trebuchet MS"/>
          <w:sz w:val="24"/>
          <w:szCs w:val="24"/>
          <w:lang w:val="ro-RO"/>
        </w:rPr>
        <w:t xml:space="preserve">, sau </w:t>
      </w:r>
      <w:r>
        <w:rPr>
          <w:rFonts w:ascii="Trebuchet MS" w:hAnsi="Trebuchet MS" w:cs="Trebuchet MS"/>
          <w:iCs/>
          <w:color w:val="000000" w:themeColor="text1"/>
          <w:sz w:val="24"/>
          <w:szCs w:val="24"/>
          <w14:textFill>
            <w14:solidFill>
              <w14:schemeClr w14:val="tx1"/>
            </w14:solidFill>
          </w14:textFill>
        </w:rPr>
        <w:t xml:space="preserve">în sectorul de construcții/agricol </w:t>
      </w:r>
      <w:r>
        <w:rPr>
          <w:rFonts w:ascii="Trebuchet MS" w:hAnsi="Trebuchet MS" w:cs="Trebuchet MS"/>
          <w:iCs/>
          <w:color w:val="000000" w:themeColor="text1"/>
          <w:sz w:val="24"/>
          <w:szCs w:val="24"/>
          <w:lang w:val="ro-RO"/>
          <w14:textFill>
            <w14:solidFill>
              <w14:schemeClr w14:val="tx1"/>
            </w14:solidFill>
          </w14:textFill>
        </w:rPr>
        <w:t xml:space="preserve">și în industria </w:t>
      </w:r>
      <w:r>
        <w:rPr>
          <w:rFonts w:ascii="Trebuchet MS" w:hAnsi="Trebuchet MS" w:cs="Trebuchet MS"/>
          <w:iCs/>
          <w:color w:val="000000" w:themeColor="text1"/>
          <w:sz w:val="24"/>
          <w:szCs w:val="24"/>
          <w14:textFill>
            <w14:solidFill>
              <w14:schemeClr w14:val="tx1"/>
            </w14:solidFill>
          </w14:textFill>
        </w:rPr>
        <w:t>alimentară</w:t>
      </w:r>
      <w:r>
        <w:rPr>
          <w:rFonts w:ascii="Trebuchet MS" w:hAnsi="Trebuchet MS" w:cs="Trebuchet MS"/>
          <w:color w:val="000000"/>
          <w:sz w:val="24"/>
          <w:lang w:val="ro-RO"/>
        </w:rPr>
        <w:t xml:space="preserve"> au fost eliminate.</w:t>
      </w:r>
    </w:p>
    <w:p>
      <w:pPr>
        <w:jc w:val="both"/>
        <w:rPr>
          <w:rFonts w:ascii="Trebuchet MS" w:hAnsi="Trebuchet MS" w:cs="Trebuchet MS"/>
          <w:color w:val="000000" w:themeColor="text1"/>
          <w:sz w:val="24"/>
          <w:szCs w:val="24"/>
          <w:lang w:val="ro-RO"/>
          <w14:textFill>
            <w14:solidFill>
              <w14:schemeClr w14:val="tx1"/>
            </w14:solidFill>
          </w14:textFill>
        </w:rPr>
      </w:pPr>
      <w:r>
        <w:rPr>
          <w:rFonts w:ascii="Trebuchet MS" w:hAnsi="Trebuchet MS" w:cs="Trebuchet MS"/>
          <w:color w:val="000000" w:themeColor="text1"/>
          <w:sz w:val="24"/>
          <w:lang w:val="ro-RO"/>
          <w14:textFill>
            <w14:solidFill>
              <w14:schemeClr w14:val="tx1"/>
            </w14:solidFill>
          </w14:textFill>
        </w:rPr>
        <w:t xml:space="preserve">Totodată, având în vedere prevederile Legii nr.270/2015 </w:t>
      </w:r>
      <w:r>
        <w:rPr>
          <w:rFonts w:ascii="Trebuchet MS" w:hAnsi="Trebuchet MS" w:cs="Calibri"/>
          <w:color w:val="000000" w:themeColor="text1"/>
          <w:sz w:val="24"/>
          <w:szCs w:val="24"/>
          <w:shd w:val="clear" w:color="auto" w:fill="FFFFFF"/>
          <w14:textFill>
            <w14:solidFill>
              <w14:schemeClr w14:val="tx1"/>
            </w14:solidFill>
          </w14:textFill>
        </w:rPr>
        <w:t>privind Statutul rezerviştilor voluntari, cu modificările ulterioare, au fost identificate două categorii de rezerviști voluntari, care, cu toate că au fost declarate în sistemul public de pensii până în prezent ca și salariații cu contract individual de muncă, datorită statutului pe care îl au și a prevederilor actului normativ, necesită o declarare distinctă prin intermediul formularului 112 în vederea stabilirii corecte a stagiului de cotizare și, după caz, a perioadelor asimilate în sistemul public de pensii</w:t>
      </w:r>
      <w:r>
        <w:rPr>
          <w:rFonts w:ascii="Trebuchet MS" w:hAnsi="Trebuchet MS" w:cs="Calibri"/>
          <w:color w:val="000000" w:themeColor="text1"/>
          <w:sz w:val="24"/>
          <w:szCs w:val="24"/>
          <w:shd w:val="clear" w:color="auto" w:fill="FFFFFF"/>
          <w:lang w:val="ro-RO"/>
          <w14:textFill>
            <w14:solidFill>
              <w14:schemeClr w14:val="tx1"/>
            </w14:solidFill>
          </w14:textFill>
        </w:rPr>
        <w:t>, potrivit propunerii reprezentanților Casei Naționale de Pensii Publice</w:t>
      </w:r>
      <w:r>
        <w:rPr>
          <w:rFonts w:ascii="Trebuchet MS" w:hAnsi="Trebuchet MS" w:cs="Calibri"/>
          <w:color w:val="000000" w:themeColor="text1"/>
          <w:sz w:val="24"/>
          <w:szCs w:val="24"/>
          <w:shd w:val="clear" w:color="auto" w:fill="FFFFFF"/>
          <w14:textFill>
            <w14:solidFill>
              <w14:schemeClr w14:val="tx1"/>
            </w14:solidFill>
          </w14:textFill>
        </w:rPr>
        <w:t xml:space="preserve">.  </w:t>
      </w:r>
    </w:p>
    <w:p>
      <w:pPr>
        <w:spacing w:after="0"/>
        <w:jc w:val="both"/>
        <w:rPr>
          <w:rFonts w:ascii="Trebuchet MS" w:hAnsi="Trebuchet MS" w:cs="Trebuchet MS"/>
          <w:bCs/>
          <w:color w:val="FF0000"/>
          <w:sz w:val="24"/>
          <w:szCs w:val="24"/>
          <w:lang w:val="ro-RO"/>
        </w:rPr>
      </w:pPr>
      <w:r>
        <w:rPr>
          <w:rFonts w:ascii="Trebuchet MS" w:hAnsi="Trebuchet MS" w:eastAsia="Times New Roman CE" w:cs="Trebuchet MS"/>
          <w:sz w:val="24"/>
          <w:szCs w:val="24"/>
          <w:lang w:val="ro-RO"/>
        </w:rPr>
        <w:t xml:space="preserve"> </w:t>
      </w:r>
      <w:r>
        <w:rPr>
          <w:rFonts w:ascii="Trebuchet MS" w:hAnsi="Trebuchet MS" w:cs="Trebuchet MS"/>
          <w:bCs/>
          <w:color w:val="000000"/>
          <w:sz w:val="24"/>
          <w:szCs w:val="24"/>
          <w:lang w:val="ro-RO"/>
        </w:rPr>
        <w:t>Având în vedere prevederile de mai sus, este necesară actualizarea modelului și conținutului formularului 112 „Declarație privind obligațiile de plată a contribuțiilor sociale, impozitului pe venit și evidența nominală a persoanelor asigurate”</w:t>
      </w:r>
      <w:r>
        <w:rPr>
          <w:rFonts w:ascii="Trebuchet MS" w:hAnsi="Trebuchet MS" w:cs="Trebuchet MS"/>
          <w:bCs/>
          <w:sz w:val="24"/>
          <w:szCs w:val="24"/>
          <w:lang w:val="ro-RO"/>
        </w:rPr>
        <w:t>.</w:t>
      </w:r>
    </w:p>
    <w:p>
      <w:pPr>
        <w:spacing w:after="0" w:line="240" w:lineRule="auto"/>
        <w:jc w:val="both"/>
        <w:rPr>
          <w:rFonts w:ascii="Trebuchet MS" w:hAnsi="Trebuchet MS" w:cs="Trebuchet MS"/>
          <w:bCs/>
          <w:color w:val="FF0000"/>
          <w:sz w:val="24"/>
          <w:szCs w:val="24"/>
          <w:lang w:val="ro-RO"/>
        </w:rPr>
      </w:pPr>
    </w:p>
    <w:p>
      <w:pPr>
        <w:suppressAutoHyphens/>
        <w:jc w:val="both"/>
        <w:rPr>
          <w:rFonts w:ascii="Trebuchet MS" w:hAnsi="Trebuchet MS" w:cs="Trebuchet MS"/>
          <w:bCs/>
          <w:sz w:val="24"/>
          <w:szCs w:val="24"/>
          <w:lang w:val="ro-RO"/>
        </w:rPr>
      </w:pPr>
      <w:r>
        <w:rPr>
          <w:rFonts w:ascii="Trebuchet MS" w:hAnsi="Trebuchet MS" w:cs="Trebuchet MS"/>
          <w:bCs/>
          <w:color w:val="000000"/>
          <w:sz w:val="24"/>
          <w:szCs w:val="24"/>
          <w:lang w:val="ro-RO"/>
        </w:rPr>
        <w:t>Ca ur</w:t>
      </w:r>
      <w:r>
        <w:rPr>
          <w:rFonts w:ascii="Trebuchet MS" w:hAnsi="Trebuchet MS" w:cs="Trebuchet MS"/>
          <w:sz w:val="24"/>
          <w:szCs w:val="24"/>
          <w:lang w:val="ro-RO"/>
        </w:rPr>
        <w:t xml:space="preserve">mare, a fost elaborat </w:t>
      </w:r>
      <w:r>
        <w:rPr>
          <w:rFonts w:ascii="Trebuchet MS" w:hAnsi="Trebuchet MS" w:cs="Trebuchet MS"/>
          <w:sz w:val="24"/>
          <w:szCs w:val="24"/>
          <w:lang w:val="fr-FR"/>
        </w:rPr>
        <w:t xml:space="preserve">proiectul de </w:t>
      </w:r>
      <w:r>
        <w:rPr>
          <w:rFonts w:ascii="Trebuchet MS" w:hAnsi="Trebuchet MS" w:cs="Trebuchet MS"/>
          <w:sz w:val="24"/>
          <w:szCs w:val="24"/>
          <w:lang w:val="ro-RO" w:eastAsia="zh-CN"/>
        </w:rPr>
        <w:t>ordin al preşedintelui</w:t>
      </w:r>
      <w:r>
        <w:rPr>
          <w:rFonts w:ascii="Trebuchet MS" w:hAnsi="Trebuchet MS" w:cs="Trebuchet MS"/>
          <w:sz w:val="24"/>
          <w:szCs w:val="24"/>
          <w:lang w:eastAsia="zh-CN"/>
        </w:rPr>
        <w:t xml:space="preserve"> </w:t>
      </w:r>
      <w:r>
        <w:rPr>
          <w:rFonts w:ascii="Trebuchet MS" w:hAnsi="Trebuchet MS" w:cs="Trebuchet MS"/>
          <w:sz w:val="24"/>
          <w:szCs w:val="24"/>
          <w:lang w:val="ro-RO" w:eastAsia="zh-CN"/>
        </w:rPr>
        <w:t xml:space="preserve">Agenției Naționale de Administrare Fiscală, preşedintelui Casei Naționale de Pensii Publice, preşedintelui Casei Naționale de Asigurări de Sănătate și al preşedintelui Agenției Naționale pentru Ocuparea Forței de Muncă </w:t>
      </w:r>
      <w:r>
        <w:rPr>
          <w:rFonts w:ascii="Trebuchet MS" w:hAnsi="Trebuchet MS" w:cs="Trebuchet MS"/>
          <w:sz w:val="24"/>
          <w:szCs w:val="24"/>
        </w:rPr>
        <w:t xml:space="preserve">pentru aprobarea modelului, conţinutului, modalităţii de depunere şi de gestionare a </w:t>
      </w:r>
      <w:r>
        <w:rPr>
          <w:rFonts w:ascii="Trebuchet MS" w:hAnsi="Trebuchet MS" w:cs="Trebuchet MS"/>
          <w:sz w:val="24"/>
          <w:szCs w:val="24"/>
          <w:lang w:val="ro-RO"/>
        </w:rPr>
        <w:t>„</w:t>
      </w:r>
      <w:r>
        <w:rPr>
          <w:rFonts w:ascii="Trebuchet MS" w:hAnsi="Trebuchet MS" w:cs="Trebuchet MS"/>
          <w:sz w:val="24"/>
          <w:szCs w:val="24"/>
        </w:rPr>
        <w:t>Declaraţiei privind obligaţiile de plată a contribuţiilor sociale, impozitului pe venit şi evidenţa nominală a persoanelor asigurate"</w:t>
      </w:r>
      <w:r>
        <w:rPr>
          <w:rFonts w:ascii="Trebuchet MS" w:hAnsi="Trebuchet MS" w:cs="Trebuchet MS"/>
          <w:sz w:val="24"/>
          <w:szCs w:val="24"/>
          <w:lang w:val="ro-RO"/>
        </w:rPr>
        <w:t>,</w:t>
      </w:r>
      <w:r>
        <w:rPr>
          <w:rFonts w:ascii="Trebuchet MS" w:hAnsi="Trebuchet MS" w:cs="Trebuchet MS"/>
          <w:sz w:val="24"/>
          <w:szCs w:val="24"/>
          <w:lang w:val="ro-RO" w:eastAsia="zh-CN"/>
        </w:rPr>
        <w:t xml:space="preserve"> care cuprinde următoarele modificări, </w:t>
      </w:r>
      <w:r>
        <w:rPr>
          <w:rFonts w:ascii="Trebuchet MS" w:hAnsi="Trebuchet MS" w:cs="Trebuchet MS"/>
          <w:bCs/>
          <w:sz w:val="24"/>
          <w:szCs w:val="24"/>
          <w:lang w:val="ro-RO"/>
        </w:rPr>
        <w:t>o parte din acestea fiind propuse de părțile implicate în elaborarea sau avizarea proiectului de ordin comun:</w:t>
      </w:r>
    </w:p>
    <w:p>
      <w:pPr>
        <w:numPr>
          <w:ilvl w:val="0"/>
          <w:numId w:val="1"/>
        </w:numPr>
        <w:jc w:val="both"/>
        <w:rPr>
          <w:rFonts w:ascii="Trebuchet MS" w:hAnsi="Trebuchet MS" w:cs="Trebuchet MS"/>
          <w:color w:val="000000" w:themeColor="text1"/>
          <w:sz w:val="24"/>
          <w:szCs w:val="24"/>
          <w:lang w:val="ro-RO"/>
          <w14:textFill>
            <w14:solidFill>
              <w14:schemeClr w14:val="tx1"/>
            </w14:solidFill>
          </w14:textFill>
        </w:rPr>
      </w:pPr>
      <w:r>
        <w:rPr>
          <w:rFonts w:ascii="Trebuchet MS" w:hAnsi="Trebuchet MS" w:cs="Trebuchet MS"/>
          <w:sz w:val="24"/>
          <w:szCs w:val="24"/>
          <w:lang w:val="ro-RO" w:eastAsia="zh-CN"/>
        </w:rPr>
        <w:t>Modificare</w:t>
      </w:r>
      <w:r>
        <w:rPr>
          <w:rFonts w:ascii="Trebuchet MS" w:hAnsi="Trebuchet MS" w:cs="Trebuchet MS"/>
          <w:sz w:val="24"/>
          <w:szCs w:val="24"/>
          <w:lang w:val="ro-RO"/>
        </w:rPr>
        <w:t>a Anexei</w:t>
      </w:r>
      <w:r>
        <w:rPr>
          <w:rFonts w:ascii="Trebuchet MS" w:hAnsi="Trebuchet MS" w:cs="Trebuchet MS"/>
          <w:color w:val="000000" w:themeColor="text1"/>
          <w:sz w:val="24"/>
          <w:szCs w:val="24"/>
          <w14:textFill>
            <w14:solidFill>
              <w14:schemeClr w14:val="tx1"/>
            </w14:solidFill>
          </w14:textFill>
        </w:rPr>
        <w:t xml:space="preserve"> nr. 1.1</w:t>
      </w:r>
      <w:r>
        <w:rPr>
          <w:rFonts w:ascii="Trebuchet MS" w:hAnsi="Trebuchet MS" w:cs="Trebuchet MS"/>
          <w:color w:val="000000" w:themeColor="text1"/>
          <w:sz w:val="24"/>
          <w:szCs w:val="24"/>
          <w:lang w:val="ro-RO"/>
          <w14:textFill>
            <w14:solidFill>
              <w14:schemeClr w14:val="tx1"/>
            </w14:solidFill>
          </w14:textFill>
        </w:rPr>
        <w:t xml:space="preserve"> „</w:t>
      </w:r>
      <w:r>
        <w:rPr>
          <w:rFonts w:ascii="Trebuchet MS" w:hAnsi="Trebuchet MS" w:cs="Trebuchet MS"/>
          <w:color w:val="000000" w:themeColor="text1"/>
          <w:sz w:val="24"/>
          <w:szCs w:val="24"/>
          <w14:textFill>
            <w14:solidFill>
              <w14:schemeClr w14:val="tx1"/>
            </w14:solidFill>
          </w14:textFill>
        </w:rPr>
        <w:t>Anexa angajator</w:t>
      </w:r>
      <w:r>
        <w:rPr>
          <w:rFonts w:ascii="Trebuchet MS" w:hAnsi="Trebuchet MS" w:cs="Trebuchet MS"/>
          <w:sz w:val="24"/>
          <w:szCs w:val="24"/>
          <w:lang w:val="ro-RO"/>
        </w:rPr>
        <w:t>” din formular, prin eliminarea rubricilor/secțiunilor</w:t>
      </w:r>
      <w:r>
        <w:rPr>
          <w:rFonts w:ascii="Trebuchet MS" w:hAnsi="Trebuchet MS" w:cs="Trebuchet MS"/>
          <w:color w:val="000000" w:themeColor="text1"/>
          <w:sz w:val="24"/>
          <w:szCs w:val="24"/>
          <w14:textFill>
            <w14:solidFill>
              <w14:schemeClr w14:val="tx1"/>
            </w14:solidFill>
          </w14:textFill>
        </w:rPr>
        <w:t xml:space="preserve"> privind angajatorii care aplic</w:t>
      </w:r>
      <w:r>
        <w:rPr>
          <w:rFonts w:ascii="Trebuchet MS" w:hAnsi="Trebuchet MS" w:cs="Trebuchet MS"/>
          <w:color w:val="000000" w:themeColor="text1"/>
          <w:sz w:val="24"/>
          <w:szCs w:val="24"/>
          <w:lang w:val="ro-RO"/>
          <w14:textFill>
            <w14:solidFill>
              <w14:schemeClr w14:val="tx1"/>
            </w14:solidFill>
          </w14:textFill>
        </w:rPr>
        <w:t xml:space="preserve">ă prevederile art. 60 pct. 5 sau pct. 7 din Codul fiscal, de la  </w:t>
      </w:r>
      <w:r>
        <w:rPr>
          <w:rFonts w:ascii="Trebuchet MS" w:hAnsi="Trebuchet MS" w:cs="Trebuchet MS"/>
          <w:color w:val="000000" w:themeColor="text1"/>
          <w:sz w:val="24"/>
          <w:szCs w:val="24"/>
          <w14:textFill>
            <w14:solidFill>
              <w14:schemeClr w14:val="tx1"/>
            </w14:solidFill>
          </w14:textFill>
        </w:rPr>
        <w:t>S</w:t>
      </w:r>
      <w:r>
        <w:rPr>
          <w:rFonts w:ascii="Trebuchet MS" w:hAnsi="Trebuchet MS" w:cs="Trebuchet MS"/>
          <w:color w:val="000000" w:themeColor="text1"/>
          <w:sz w:val="24"/>
          <w:szCs w:val="24"/>
          <w:lang w:val="ro-RO"/>
          <w14:textFill>
            <w14:solidFill>
              <w14:schemeClr w14:val="tx1"/>
            </w14:solidFill>
          </w14:textFill>
        </w:rPr>
        <w:t>ecțiunea</w:t>
      </w:r>
      <w:r>
        <w:rPr>
          <w:rFonts w:ascii="Trebuchet MS" w:hAnsi="Trebuchet MS" w:cs="Trebuchet MS"/>
          <w:color w:val="000000" w:themeColor="text1"/>
          <w:sz w:val="24"/>
          <w:szCs w:val="24"/>
          <w14:textFill>
            <w14:solidFill>
              <w14:schemeClr w14:val="tx1"/>
            </w14:solidFill>
          </w14:textFill>
        </w:rPr>
        <w:t xml:space="preserve"> A </w:t>
      </w:r>
      <w:r>
        <w:rPr>
          <w:rFonts w:ascii="Trebuchet MS" w:hAnsi="Trebuchet MS" w:cs="Trebuchet MS"/>
          <w:color w:val="000000" w:themeColor="text1"/>
          <w:sz w:val="24"/>
          <w:szCs w:val="24"/>
          <w:lang w:val="ro-RO"/>
          <w14:textFill>
            <w14:solidFill>
              <w14:schemeClr w14:val="tx1"/>
            </w14:solidFill>
          </w14:textFill>
        </w:rPr>
        <w:t>„</w:t>
      </w:r>
      <w:r>
        <w:rPr>
          <w:rFonts w:ascii="Trebuchet MS" w:hAnsi="Trebuchet MS" w:cs="Trebuchet MS"/>
          <w:color w:val="000000" w:themeColor="text1"/>
          <w:sz w:val="24"/>
          <w:szCs w:val="24"/>
          <w14:textFill>
            <w14:solidFill>
              <w14:schemeClr w14:val="tx1"/>
            </w14:solidFill>
          </w14:textFill>
        </w:rPr>
        <w:t>Alte date de identificare a pl</w:t>
      </w:r>
      <w:r>
        <w:rPr>
          <w:rFonts w:ascii="Trebuchet MS" w:hAnsi="Trebuchet MS" w:cs="Trebuchet MS"/>
          <w:color w:val="000000" w:themeColor="text1"/>
          <w:sz w:val="24"/>
          <w:szCs w:val="24"/>
          <w:lang w:val="ro-RO"/>
          <w14:textFill>
            <w14:solidFill>
              <w14:schemeClr w14:val="tx1"/>
            </w14:solidFill>
          </w14:textFill>
        </w:rPr>
        <w:t>ătitorului”;</w:t>
      </w:r>
    </w:p>
    <w:p>
      <w:pPr>
        <w:numPr>
          <w:ilvl w:val="0"/>
          <w:numId w:val="1"/>
        </w:numPr>
        <w:suppressAutoHyphens/>
        <w:autoSpaceDE w:val="0"/>
        <w:autoSpaceDN w:val="0"/>
        <w:adjustRightInd w:val="0"/>
        <w:spacing w:after="0" w:line="240" w:lineRule="auto"/>
        <w:jc w:val="both"/>
        <w:rPr>
          <w:rFonts w:ascii="Trebuchet MS" w:hAnsi="Trebuchet MS" w:cs="Trebuchet MS"/>
          <w:sz w:val="24"/>
          <w:szCs w:val="24"/>
          <w:lang w:val="ro-RO"/>
        </w:rPr>
      </w:pPr>
      <w:r>
        <w:rPr>
          <w:rFonts w:ascii="Trebuchet MS" w:hAnsi="Trebuchet MS" w:cs="Trebuchet MS"/>
          <w:sz w:val="24"/>
          <w:szCs w:val="24"/>
          <w:lang w:val="ro-RO" w:eastAsia="zh-CN"/>
        </w:rPr>
        <w:t>Modificare</w:t>
      </w:r>
      <w:r>
        <w:rPr>
          <w:rFonts w:ascii="Trebuchet MS" w:hAnsi="Trebuchet MS" w:cs="Trebuchet MS"/>
          <w:sz w:val="24"/>
          <w:szCs w:val="24"/>
          <w:lang w:val="ro-RO"/>
        </w:rPr>
        <w:t>a Anexei</w:t>
      </w:r>
      <w:r>
        <w:rPr>
          <w:rFonts w:ascii="Trebuchet MS" w:hAnsi="Trebuchet MS" w:cs="Trebuchet MS"/>
          <w:color w:val="000000" w:themeColor="text1"/>
          <w:sz w:val="24"/>
          <w:szCs w:val="24"/>
          <w14:textFill>
            <w14:solidFill>
              <w14:schemeClr w14:val="tx1"/>
            </w14:solidFill>
          </w14:textFill>
        </w:rPr>
        <w:t xml:space="preserve"> nr. 1.</w:t>
      </w:r>
      <w:r>
        <w:rPr>
          <w:rFonts w:ascii="Trebuchet MS" w:hAnsi="Trebuchet MS" w:cs="Trebuchet MS"/>
          <w:color w:val="000000" w:themeColor="text1"/>
          <w:sz w:val="24"/>
          <w:szCs w:val="24"/>
          <w:lang w:val="ro-RO"/>
          <w14:textFill>
            <w14:solidFill>
              <w14:schemeClr w14:val="tx1"/>
            </w14:solidFill>
          </w14:textFill>
        </w:rPr>
        <w:t>2  „</w:t>
      </w:r>
      <w:r>
        <w:rPr>
          <w:rFonts w:ascii="Trebuchet MS" w:hAnsi="Trebuchet MS" w:cs="Trebuchet MS"/>
          <w:bCs/>
          <w:color w:val="000000" w:themeColor="text1"/>
          <w:sz w:val="24"/>
          <w:szCs w:val="24"/>
          <w14:textFill>
            <w14:solidFill>
              <w14:schemeClr w14:val="tx1"/>
            </w14:solidFill>
          </w14:textFill>
        </w:rPr>
        <w:t>Anexa asigurat</w:t>
      </w:r>
      <w:r>
        <w:rPr>
          <w:rFonts w:ascii="Trebuchet MS" w:hAnsi="Trebuchet MS" w:cs="Trebuchet MS"/>
          <w:bCs/>
          <w:color w:val="000000" w:themeColor="text1"/>
          <w:sz w:val="24"/>
          <w:szCs w:val="24"/>
          <w:lang w:val="ro-RO"/>
          <w14:textFill>
            <w14:solidFill>
              <w14:schemeClr w14:val="tx1"/>
            </w14:solidFill>
          </w14:textFill>
        </w:rPr>
        <w:t>” din formular, prin:</w:t>
      </w:r>
    </w:p>
    <w:p>
      <w:pPr>
        <w:suppressAutoHyphens/>
        <w:autoSpaceDE w:val="0"/>
        <w:autoSpaceDN w:val="0"/>
        <w:adjustRightInd w:val="0"/>
        <w:spacing w:after="0" w:line="240" w:lineRule="auto"/>
        <w:jc w:val="both"/>
        <w:rPr>
          <w:rFonts w:ascii="Trebuchet MS" w:hAnsi="Trebuchet MS" w:cs="Trebuchet MS"/>
          <w:color w:val="000000" w:themeColor="text1"/>
          <w:sz w:val="24"/>
          <w:szCs w:val="24"/>
          <w:lang w:val="ro-RO"/>
          <w14:textFill>
            <w14:solidFill>
              <w14:schemeClr w14:val="tx1"/>
            </w14:solidFill>
          </w14:textFill>
        </w:rPr>
      </w:pPr>
      <w:r>
        <w:rPr>
          <w:rFonts w:ascii="Trebuchet MS" w:hAnsi="Trebuchet MS" w:cs="Trebuchet MS"/>
          <w:sz w:val="24"/>
          <w:szCs w:val="24"/>
          <w:lang w:val="ro-RO"/>
        </w:rPr>
        <w:t>- eliminarea casetei „</w:t>
      </w:r>
      <w:r>
        <w:rPr>
          <w:rFonts w:ascii="Trebuchet MS" w:hAnsi="Trebuchet MS" w:cs="Trebuchet MS"/>
          <w:iCs/>
          <w:color w:val="000000" w:themeColor="text1"/>
          <w:sz w:val="24"/>
          <w:szCs w:val="24"/>
          <w14:textFill>
            <w14:solidFill>
              <w14:schemeClr w14:val="tx1"/>
            </w14:solidFill>
          </w14:textFill>
        </w:rPr>
        <w:t xml:space="preserve">Salariat care desfășoară </w:t>
      </w:r>
      <w:r>
        <w:rPr>
          <w:rFonts w:ascii="Trebuchet MS" w:hAnsi="Trebuchet MS" w:eastAsia="SimSun" w:cs="Trebuchet MS"/>
          <w:sz w:val="24"/>
          <w:szCs w:val="24"/>
        </w:rPr>
        <w:t>activități de creare de</w:t>
      </w:r>
      <w:r>
        <w:rPr>
          <w:rFonts w:ascii="Trebuchet MS" w:hAnsi="Trebuchet MS" w:eastAsia="SimSun" w:cs="Trebuchet MS"/>
          <w:sz w:val="24"/>
          <w:szCs w:val="24"/>
          <w:lang w:val="ro-RO"/>
        </w:rPr>
        <w:t xml:space="preserve"> </w:t>
      </w:r>
      <w:r>
        <w:rPr>
          <w:rFonts w:ascii="Trebuchet MS" w:hAnsi="Trebuchet MS" w:eastAsia="SimSun" w:cs="Trebuchet MS"/>
          <w:sz w:val="24"/>
          <w:szCs w:val="24"/>
        </w:rPr>
        <w:t>programe pentru calculator</w:t>
      </w:r>
      <w:r>
        <w:rPr>
          <w:rFonts w:ascii="Trebuchet MS" w:hAnsi="Trebuchet MS" w:eastAsia="SimSun" w:cs="Trebuchet MS"/>
          <w:sz w:val="24"/>
          <w:szCs w:val="24"/>
          <w:lang w:val="ro-RO"/>
        </w:rPr>
        <w:t xml:space="preserve">, sau </w:t>
      </w:r>
      <w:r>
        <w:rPr>
          <w:rFonts w:ascii="Trebuchet MS" w:hAnsi="Trebuchet MS" w:cs="Trebuchet MS"/>
          <w:iCs/>
          <w:color w:val="000000" w:themeColor="text1"/>
          <w:sz w:val="24"/>
          <w:szCs w:val="24"/>
          <w14:textFill>
            <w14:solidFill>
              <w14:schemeClr w14:val="tx1"/>
            </w14:solidFill>
          </w14:textFill>
        </w:rPr>
        <w:t xml:space="preserve">în sectorul de construcții/agricol </w:t>
      </w:r>
      <w:r>
        <w:rPr>
          <w:rFonts w:ascii="Trebuchet MS" w:hAnsi="Trebuchet MS" w:cs="Trebuchet MS"/>
          <w:iCs/>
          <w:color w:val="000000" w:themeColor="text1"/>
          <w:sz w:val="24"/>
          <w:szCs w:val="24"/>
          <w:lang w:val="ro-RO"/>
          <w14:textFill>
            <w14:solidFill>
              <w14:schemeClr w14:val="tx1"/>
            </w14:solidFill>
          </w14:textFill>
        </w:rPr>
        <w:t xml:space="preserve">și în industria </w:t>
      </w:r>
      <w:r>
        <w:rPr>
          <w:rFonts w:ascii="Trebuchet MS" w:hAnsi="Trebuchet MS" w:cs="Trebuchet MS"/>
          <w:iCs/>
          <w:color w:val="000000" w:themeColor="text1"/>
          <w:sz w:val="24"/>
          <w:szCs w:val="24"/>
          <w14:textFill>
            <w14:solidFill>
              <w14:schemeClr w14:val="tx1"/>
            </w14:solidFill>
          </w14:textFill>
        </w:rPr>
        <w:t>alimentară,</w:t>
      </w:r>
      <w:r>
        <w:rPr>
          <w:rFonts w:ascii="Trebuchet MS" w:hAnsi="Trebuchet MS" w:cs="Trebuchet MS"/>
          <w:iCs/>
          <w:color w:val="000000" w:themeColor="text1"/>
          <w:sz w:val="24"/>
          <w:szCs w:val="24"/>
          <w:lang w:val="ro-RO"/>
          <w14:textFill>
            <w14:solidFill>
              <w14:schemeClr w14:val="tx1"/>
            </w14:solidFill>
          </w14:textFill>
        </w:rPr>
        <w:t xml:space="preserve"> </w:t>
      </w:r>
      <w:r>
        <w:rPr>
          <w:rFonts w:ascii="Trebuchet MS" w:hAnsi="Trebuchet MS" w:cs="Trebuchet MS"/>
          <w:iCs/>
          <w:color w:val="000000" w:themeColor="text1"/>
          <w:sz w:val="24"/>
          <w:szCs w:val="24"/>
          <w14:textFill>
            <w14:solidFill>
              <w14:schemeClr w14:val="tx1"/>
            </w14:solidFill>
          </w14:textFill>
        </w:rPr>
        <w:t xml:space="preserve">după caz, care beneficiază de facilităţile fiscale prevăzute la art. 60 </w:t>
      </w:r>
      <w:r>
        <w:rPr>
          <w:rFonts w:ascii="Trebuchet MS" w:hAnsi="Trebuchet MS" w:cs="Trebuchet MS"/>
          <w:iCs/>
          <w:color w:val="000000" w:themeColor="text1"/>
          <w:sz w:val="24"/>
          <w:szCs w:val="24"/>
          <w:lang w:val="ro-RO"/>
          <w14:textFill>
            <w14:solidFill>
              <w14:schemeClr w14:val="tx1"/>
            </w14:solidFill>
          </w14:textFill>
        </w:rPr>
        <w:t xml:space="preserve">pct.2, </w:t>
      </w:r>
      <w:r>
        <w:rPr>
          <w:rFonts w:ascii="Trebuchet MS" w:hAnsi="Trebuchet MS" w:cs="Trebuchet MS"/>
          <w:iCs/>
          <w:color w:val="000000" w:themeColor="text1"/>
          <w:sz w:val="24"/>
          <w:szCs w:val="24"/>
          <w14:textFill>
            <w14:solidFill>
              <w14:schemeClr w14:val="tx1"/>
            </w14:solidFill>
          </w14:textFill>
        </w:rPr>
        <w:t>pct. 5 sau pct. 7 din Codul</w:t>
      </w:r>
      <w:r>
        <w:rPr>
          <w:rFonts w:ascii="Trebuchet MS" w:hAnsi="Trebuchet MS" w:cs="Trebuchet MS"/>
          <w:iCs/>
          <w:color w:val="000000" w:themeColor="text1"/>
          <w:sz w:val="24"/>
          <w:szCs w:val="24"/>
          <w:lang w:val="ro-RO"/>
          <w14:textFill>
            <w14:solidFill>
              <w14:schemeClr w14:val="tx1"/>
            </w14:solidFill>
          </w14:textFill>
        </w:rPr>
        <w:t xml:space="preserve"> </w:t>
      </w:r>
      <w:r>
        <w:rPr>
          <w:rFonts w:ascii="Trebuchet MS" w:hAnsi="Trebuchet MS" w:cs="Trebuchet MS"/>
          <w:iCs/>
          <w:color w:val="000000" w:themeColor="text1"/>
          <w:sz w:val="24"/>
          <w:szCs w:val="24"/>
          <w14:textFill>
            <w14:solidFill>
              <w14:schemeClr w14:val="tx1"/>
            </w14:solidFill>
          </w14:textFill>
        </w:rPr>
        <w:t xml:space="preserve">fiscal care și-a exprimat opțiunea pentru </w:t>
      </w:r>
      <w:r>
        <w:rPr>
          <w:rFonts w:ascii="Trebuchet MS" w:hAnsi="Trebuchet MS" w:cs="Trebuchet MS"/>
          <w:color w:val="000000" w:themeColor="text1"/>
          <w:sz w:val="24"/>
          <w:szCs w:val="24"/>
          <w14:textFill>
            <w14:solidFill>
              <w14:schemeClr w14:val="tx1"/>
            </w14:solidFill>
          </w14:textFill>
        </w:rPr>
        <w:t xml:space="preserve">plata contribuției la fondul de pensii </w:t>
      </w:r>
      <w:r>
        <w:rPr>
          <w:rFonts w:ascii="Trebuchet MS" w:hAnsi="Trebuchet MS" w:cs="Trebuchet MS"/>
          <w:color w:val="000000" w:themeColor="text1"/>
          <w:sz w:val="24"/>
          <w:szCs w:val="24"/>
          <w:lang w:val="ro-RO"/>
          <w14:textFill>
            <w14:solidFill>
              <w14:schemeClr w14:val="tx1"/>
            </w14:solidFill>
          </w14:textFill>
        </w:rPr>
        <w:t>a</w:t>
      </w:r>
      <w:r>
        <w:rPr>
          <w:rFonts w:ascii="Trebuchet MS" w:hAnsi="Trebuchet MS" w:cs="Trebuchet MS"/>
          <w:color w:val="000000" w:themeColor="text1"/>
          <w:sz w:val="24"/>
          <w:szCs w:val="24"/>
          <w14:textFill>
            <w14:solidFill>
              <w14:schemeClr w14:val="tx1"/>
            </w14:solidFill>
          </w14:textFill>
        </w:rPr>
        <w:t>dministrat privat</w:t>
      </w:r>
      <w:r>
        <w:rPr>
          <w:rFonts w:ascii="Trebuchet MS" w:hAnsi="Trebuchet MS" w:cs="Trebuchet MS"/>
          <w:color w:val="000000" w:themeColor="text1"/>
          <w:sz w:val="24"/>
          <w:szCs w:val="24"/>
          <w:lang w:val="ro-RO"/>
          <w14:textFill>
            <w14:solidFill>
              <w14:schemeClr w14:val="tx1"/>
            </w14:solidFill>
          </w14:textFill>
        </w:rPr>
        <w:t>;</w:t>
      </w:r>
    </w:p>
    <w:p>
      <w:pPr>
        <w:suppressAutoHyphens/>
        <w:autoSpaceDE w:val="0"/>
        <w:autoSpaceDN w:val="0"/>
        <w:adjustRightInd w:val="0"/>
        <w:spacing w:after="0" w:line="240" w:lineRule="auto"/>
        <w:jc w:val="both"/>
        <w:rPr>
          <w:rFonts w:ascii="Trebuchet MS" w:hAnsi="Trebuchet MS" w:cs="Trebuchet MS"/>
          <w:color w:val="000000" w:themeColor="text1"/>
          <w:sz w:val="24"/>
          <w:lang w:val="ro-RO"/>
          <w14:textFill>
            <w14:solidFill>
              <w14:schemeClr w14:val="tx1"/>
            </w14:solidFill>
          </w14:textFill>
        </w:rPr>
      </w:pPr>
      <w:r>
        <w:rPr>
          <w:rFonts w:ascii="Trebuchet MS" w:hAnsi="Trebuchet MS" w:cs="Trebuchet MS"/>
          <w:sz w:val="24"/>
          <w:szCs w:val="24"/>
          <w:lang w:val="ro-RO"/>
        </w:rPr>
        <w:t xml:space="preserve">- actualizarea trimiterilor care vizează măsura </w:t>
      </w:r>
      <w:r>
        <w:rPr>
          <w:rFonts w:ascii="Trebuchet MS" w:hAnsi="Trebuchet MS" w:cs="Trebuchet MS"/>
          <w:color w:val="000000"/>
          <w:sz w:val="24"/>
        </w:rPr>
        <w:t>„</w:t>
      </w:r>
      <w:r>
        <w:rPr>
          <w:rFonts w:ascii="Trebuchet MS" w:hAnsi="Trebuchet MS" w:cs="Trebuchet MS"/>
          <w:color w:val="000000"/>
          <w:sz w:val="24"/>
          <w:lang w:val="ro-RO"/>
        </w:rPr>
        <w:t>3</w:t>
      </w:r>
      <w:r>
        <w:rPr>
          <w:rFonts w:ascii="Trebuchet MS" w:hAnsi="Trebuchet MS" w:cs="Trebuchet MS"/>
          <w:color w:val="000000"/>
          <w:sz w:val="24"/>
        </w:rPr>
        <w:t>00 de lei din salariul minim, sumă netaxabilă”</w:t>
      </w:r>
      <w:r>
        <w:rPr>
          <w:rFonts w:ascii="Trebuchet MS" w:hAnsi="Trebuchet MS" w:cs="Trebuchet MS"/>
          <w:color w:val="000000"/>
          <w:sz w:val="24"/>
          <w:lang w:val="ro-RO"/>
        </w:rPr>
        <w:t xml:space="preserve">, de la </w:t>
      </w:r>
      <w:r>
        <w:rPr>
          <w:rFonts w:ascii="Trebuchet MS" w:hAnsi="Trebuchet MS" w:cs="Trebuchet MS"/>
          <w:color w:val="000000" w:themeColor="text1"/>
          <w:sz w:val="24"/>
          <w:szCs w:val="24"/>
          <w14:textFill>
            <w14:solidFill>
              <w14:schemeClr w14:val="tx1"/>
            </w14:solidFill>
          </w14:textFill>
        </w:rPr>
        <w:t>S</w:t>
      </w:r>
      <w:r>
        <w:rPr>
          <w:rFonts w:ascii="Trebuchet MS" w:hAnsi="Trebuchet MS" w:cs="Trebuchet MS"/>
          <w:color w:val="000000" w:themeColor="text1"/>
          <w:sz w:val="24"/>
          <w:szCs w:val="24"/>
          <w:lang w:val="ro-RO"/>
          <w14:textFill>
            <w14:solidFill>
              <w14:schemeClr w14:val="tx1"/>
            </w14:solidFill>
          </w14:textFill>
        </w:rPr>
        <w:t>ecțiunile</w:t>
      </w:r>
      <w:r>
        <w:rPr>
          <w:rFonts w:ascii="Trebuchet MS" w:hAnsi="Trebuchet MS" w:cs="Trebuchet MS"/>
          <w:color w:val="000000" w:themeColor="text1"/>
          <w:sz w:val="24"/>
          <w:szCs w:val="24"/>
          <w14:textFill>
            <w14:solidFill>
              <w14:schemeClr w14:val="tx1"/>
            </w14:solidFill>
          </w14:textFill>
        </w:rPr>
        <w:t xml:space="preserve"> A</w:t>
      </w:r>
      <w:r>
        <w:rPr>
          <w:rFonts w:ascii="Trebuchet MS" w:hAnsi="Trebuchet MS" w:cs="Trebuchet MS"/>
          <w:color w:val="000000" w:themeColor="text1"/>
          <w:sz w:val="24"/>
          <w:szCs w:val="24"/>
          <w:lang w:val="ro-RO"/>
          <w14:textFill>
            <w14:solidFill>
              <w14:schemeClr w14:val="tx1"/>
            </w14:solidFill>
          </w14:textFill>
        </w:rPr>
        <w:t xml:space="preserve"> și B</w:t>
      </w:r>
      <w:r>
        <w:rPr>
          <w:rFonts w:ascii="Trebuchet MS" w:hAnsi="Trebuchet MS" w:cs="Trebuchet MS"/>
          <w:color w:val="000000" w:themeColor="text1"/>
          <w:sz w:val="24"/>
          <w:lang w:val="ro-RO"/>
          <w14:textFill>
            <w14:solidFill>
              <w14:schemeClr w14:val="tx1"/>
            </w14:solidFill>
          </w14:textFill>
        </w:rPr>
        <w:t>;</w:t>
      </w:r>
    </w:p>
    <w:p>
      <w:pPr>
        <w:suppressAutoHyphens/>
        <w:autoSpaceDE w:val="0"/>
        <w:autoSpaceDN w:val="0"/>
        <w:adjustRightInd w:val="0"/>
        <w:spacing w:after="0" w:line="240" w:lineRule="auto"/>
        <w:jc w:val="both"/>
        <w:rPr>
          <w:rFonts w:ascii="Trebuchet MS" w:hAnsi="Trebuchet MS" w:cs="Trebuchet MS"/>
          <w:color w:val="000000"/>
          <w:sz w:val="24"/>
          <w:lang w:val="ro-RO"/>
        </w:rPr>
      </w:pPr>
      <w:r>
        <w:rPr>
          <w:rFonts w:ascii="Trebuchet MS" w:hAnsi="Trebuchet MS" w:cs="Trebuchet MS"/>
          <w:color w:val="000000" w:themeColor="text1"/>
          <w:sz w:val="24"/>
          <w:lang w:val="ro-RO"/>
          <w14:textFill>
            <w14:solidFill>
              <w14:schemeClr w14:val="tx1"/>
            </w14:solidFill>
          </w14:textFill>
        </w:rPr>
        <w:t>- eliminarea Secțiunii A1</w:t>
      </w:r>
      <w:r>
        <w:rPr>
          <w:rFonts w:ascii="Trebuchet MS" w:hAnsi="Trebuchet MS" w:cs="Trebuchet MS"/>
          <w:color w:val="000000"/>
          <w:sz w:val="24"/>
          <w:lang w:val="ro-RO"/>
        </w:rPr>
        <w:t xml:space="preserve"> „</w:t>
      </w:r>
      <w:r>
        <w:rPr>
          <w:rFonts w:ascii="Trebuchet MS" w:hAnsi="Trebuchet MS" w:cs="Trebuchet MS"/>
          <w:color w:val="000000" w:themeColor="text1"/>
          <w:sz w:val="24"/>
          <w:szCs w:val="24"/>
          <w14:textFill>
            <w14:solidFill>
              <w14:schemeClr w14:val="tx1"/>
            </w14:solidFill>
          </w14:textFill>
        </w:rPr>
        <w:t>Facilit</w:t>
      </w:r>
      <w:r>
        <w:rPr>
          <w:rFonts w:ascii="Trebuchet MS" w:hAnsi="Trebuchet MS" w:cs="Trebuchet MS"/>
          <w:color w:val="000000" w:themeColor="text1"/>
          <w:sz w:val="24"/>
          <w:szCs w:val="24"/>
          <w:lang w:val="ro-RO"/>
          <w14:textFill>
            <w14:solidFill>
              <w14:schemeClr w14:val="tx1"/>
            </w14:solidFill>
          </w14:textFill>
        </w:rPr>
        <w:t xml:space="preserve">ăți fiscale acordate salariaților pentru </w:t>
      </w:r>
      <w:r>
        <w:rPr>
          <w:rFonts w:ascii="Trebuchet MS" w:hAnsi="Trebuchet MS" w:eastAsia="SimSun" w:cs="Trebuchet MS"/>
          <w:sz w:val="24"/>
          <w:szCs w:val="24"/>
        </w:rPr>
        <w:t>activități de creare de programe pentru calculator</w:t>
      </w:r>
      <w:r>
        <w:rPr>
          <w:rFonts w:ascii="Trebuchet MS" w:hAnsi="Trebuchet MS" w:eastAsia="SimSun" w:cs="Trebuchet MS"/>
          <w:sz w:val="24"/>
          <w:szCs w:val="24"/>
          <w:lang w:val="ro-RO"/>
        </w:rPr>
        <w:t>,</w:t>
      </w:r>
      <w:r>
        <w:rPr>
          <w:rFonts w:ascii="Trebuchet MS" w:hAnsi="Trebuchet MS" w:cs="Trebuchet MS"/>
          <w:color w:val="000000" w:themeColor="text1"/>
          <w:sz w:val="24"/>
          <w:szCs w:val="24"/>
          <w:lang w:val="ro-RO"/>
          <w14:textFill>
            <w14:solidFill>
              <w14:schemeClr w14:val="tx1"/>
            </w14:solidFill>
          </w14:textFill>
        </w:rPr>
        <w:t xml:space="preserve"> respectiv </w:t>
      </w:r>
      <w:r>
        <w:rPr>
          <w:rFonts w:ascii="Trebuchet MS" w:hAnsi="Trebuchet MS" w:eastAsia="SimSun" w:cs="Trebuchet MS"/>
          <w:sz w:val="24"/>
          <w:szCs w:val="24"/>
          <w:lang w:val="ro-RO"/>
        </w:rPr>
        <w:t xml:space="preserve">pentru activități </w:t>
      </w:r>
      <w:r>
        <w:rPr>
          <w:rFonts w:ascii="Trebuchet MS" w:hAnsi="Trebuchet MS" w:cs="Trebuchet MS"/>
          <w:color w:val="000000" w:themeColor="text1"/>
          <w:sz w:val="24"/>
          <w:szCs w:val="24"/>
          <w:lang w:val="ro-RO"/>
          <w14:textFill>
            <w14:solidFill>
              <w14:schemeClr w14:val="tx1"/>
            </w14:solidFill>
          </w14:textFill>
        </w:rPr>
        <w:t>în sectorul construcții</w:t>
      </w:r>
      <w:r>
        <w:rPr>
          <w:rFonts w:ascii="Trebuchet MS" w:hAnsi="Trebuchet MS" w:cs="Trebuchet MS"/>
          <w:color w:val="000000" w:themeColor="text1"/>
          <w:sz w:val="24"/>
          <w:szCs w:val="24"/>
          <w:highlight w:val="white"/>
          <w:lang w:val="ro-RO"/>
          <w14:textFill>
            <w14:solidFill>
              <w14:schemeClr w14:val="tx1"/>
            </w14:solidFill>
          </w14:textFill>
        </w:rPr>
        <w:t>/agricol și în industria alimentară, conform art.60 pct.2, pct. 5 sau pct. 7 din Codul fiscal</w:t>
      </w:r>
      <w:r>
        <w:rPr>
          <w:rFonts w:ascii="Trebuchet MS" w:hAnsi="Trebuchet MS" w:cs="Trebuchet MS"/>
          <w:color w:val="000000" w:themeColor="text1"/>
          <w:sz w:val="24"/>
          <w:szCs w:val="24"/>
          <w:lang w:val="ro-RO"/>
          <w14:textFill>
            <w14:solidFill>
              <w14:schemeClr w14:val="tx1"/>
            </w14:solidFill>
          </w14:textFill>
        </w:rPr>
        <w:t>, după caz”;</w:t>
      </w:r>
    </w:p>
    <w:p>
      <w:pPr>
        <w:suppressAutoHyphens/>
        <w:autoSpaceDE w:val="0"/>
        <w:autoSpaceDN w:val="0"/>
        <w:adjustRightInd w:val="0"/>
        <w:spacing w:after="0" w:line="240" w:lineRule="auto"/>
        <w:jc w:val="both"/>
        <w:rPr>
          <w:rFonts w:ascii="Trebuchet MS" w:hAnsi="Trebuchet MS" w:cs="Trebuchet MS"/>
          <w:sz w:val="24"/>
          <w:szCs w:val="24"/>
          <w:lang w:val="ro-RO"/>
        </w:rPr>
      </w:pPr>
      <w:r>
        <w:rPr>
          <w:rFonts w:ascii="Trebuchet MS" w:hAnsi="Trebuchet MS" w:cs="Trebuchet MS"/>
          <w:color w:val="000000"/>
          <w:sz w:val="24"/>
          <w:lang w:val="ro-RO"/>
        </w:rPr>
        <w:t>- eliminarea Secțiunii B.4.1. „</w:t>
      </w:r>
      <w:r>
        <w:rPr>
          <w:rFonts w:ascii="Trebuchet MS" w:hAnsi="Trebuchet MS" w:cs="Trebuchet MS"/>
          <w:color w:val="000000" w:themeColor="text1"/>
          <w:sz w:val="24"/>
          <w:szCs w:val="24"/>
          <w14:textFill>
            <w14:solidFill>
              <w14:schemeClr w14:val="tx1"/>
            </w14:solidFill>
          </w14:textFill>
        </w:rPr>
        <w:t>Facilit</w:t>
      </w:r>
      <w:r>
        <w:rPr>
          <w:rFonts w:ascii="Trebuchet MS" w:hAnsi="Trebuchet MS" w:cs="Trebuchet MS"/>
          <w:color w:val="000000" w:themeColor="text1"/>
          <w:sz w:val="24"/>
          <w:szCs w:val="24"/>
          <w:lang w:val="ro-RO"/>
          <w14:textFill>
            <w14:solidFill>
              <w14:schemeClr w14:val="tx1"/>
            </w14:solidFill>
          </w14:textFill>
        </w:rPr>
        <w:t xml:space="preserve">ăți fiscale acordate salariaților pentru </w:t>
      </w:r>
      <w:r>
        <w:rPr>
          <w:rFonts w:ascii="Trebuchet MS" w:hAnsi="Trebuchet MS" w:eastAsia="SimSun" w:cs="Trebuchet MS"/>
          <w:sz w:val="24"/>
          <w:szCs w:val="24"/>
        </w:rPr>
        <w:t>activități de creare de programe pentru calculator</w:t>
      </w:r>
      <w:r>
        <w:rPr>
          <w:rFonts w:ascii="Trebuchet MS" w:hAnsi="Trebuchet MS" w:eastAsia="SimSun" w:cs="Trebuchet MS"/>
          <w:sz w:val="24"/>
          <w:szCs w:val="24"/>
          <w:lang w:val="ro-RO"/>
        </w:rPr>
        <w:t>,</w:t>
      </w:r>
      <w:r>
        <w:rPr>
          <w:rFonts w:ascii="Trebuchet MS" w:hAnsi="Trebuchet MS" w:cs="Trebuchet MS"/>
          <w:color w:val="000000" w:themeColor="text1"/>
          <w:sz w:val="24"/>
          <w:szCs w:val="24"/>
          <w:lang w:val="ro-RO"/>
          <w14:textFill>
            <w14:solidFill>
              <w14:schemeClr w14:val="tx1"/>
            </w14:solidFill>
          </w14:textFill>
        </w:rPr>
        <w:t xml:space="preserve"> respectiv pentru activități în sectorul construcții/agricol și în industria alimentară, conform art. 60 pct. 2, pct. 5 sau pct. 7</w:t>
      </w:r>
      <w:r>
        <w:rPr>
          <w:rFonts w:ascii="Trebuchet MS" w:hAnsi="Trebuchet MS" w:cs="Trebuchet MS"/>
          <w:color w:val="000000" w:themeColor="text1"/>
          <w:sz w:val="24"/>
          <w:szCs w:val="24"/>
          <w:highlight w:val="white"/>
          <w:lang w:val="ro-RO"/>
          <w14:textFill>
            <w14:solidFill>
              <w14:schemeClr w14:val="tx1"/>
            </w14:solidFill>
          </w14:textFill>
        </w:rPr>
        <w:t xml:space="preserve"> din Codul fiscal</w:t>
      </w:r>
      <w:r>
        <w:rPr>
          <w:rFonts w:ascii="Trebuchet MS" w:hAnsi="Trebuchet MS" w:cs="Trebuchet MS"/>
          <w:color w:val="000000" w:themeColor="text1"/>
          <w:sz w:val="24"/>
          <w:szCs w:val="24"/>
          <w:lang w:val="ro-RO"/>
          <w14:textFill>
            <w14:solidFill>
              <w14:schemeClr w14:val="tx1"/>
            </w14:solidFill>
          </w14:textFill>
        </w:rPr>
        <w:t>, după caz”</w:t>
      </w:r>
      <w:r>
        <w:rPr>
          <w:rFonts w:ascii="Trebuchet MS" w:hAnsi="Trebuchet MS" w:cs="Trebuchet MS"/>
          <w:sz w:val="24"/>
          <w:szCs w:val="24"/>
          <w:lang w:val="ro-RO"/>
        </w:rPr>
        <w:t>;</w:t>
      </w:r>
    </w:p>
    <w:p>
      <w:pPr>
        <w:suppressAutoHyphens/>
        <w:autoSpaceDE w:val="0"/>
        <w:autoSpaceDN w:val="0"/>
        <w:adjustRightInd w:val="0"/>
        <w:spacing w:line="259" w:lineRule="atLeast"/>
        <w:jc w:val="both"/>
        <w:rPr>
          <w:rFonts w:ascii="Trebuchet MS" w:hAnsi="Trebuchet MS" w:cs="Trebuchet MS"/>
          <w:color w:val="000000" w:themeColor="text1"/>
          <w:sz w:val="24"/>
          <w:szCs w:val="24"/>
          <w:lang w:val="ro-RO"/>
          <w14:textFill>
            <w14:solidFill>
              <w14:schemeClr w14:val="tx1"/>
            </w14:solidFill>
          </w14:textFill>
        </w:rPr>
      </w:pPr>
      <w:r>
        <w:rPr>
          <w:rFonts w:ascii="Trebuchet MS" w:hAnsi="Trebuchet MS" w:cs="Trebuchet MS"/>
          <w:sz w:val="24"/>
          <w:szCs w:val="24"/>
          <w:lang w:val="ro-RO"/>
        </w:rPr>
        <w:t xml:space="preserve">- eliminarea din </w:t>
      </w:r>
      <w:r>
        <w:rPr>
          <w:rFonts w:ascii="Trebuchet MS" w:hAnsi="Trebuchet MS" w:cs="Trebuchet MS"/>
          <w:color w:val="000000"/>
          <w:sz w:val="24"/>
          <w:lang w:val="ro-RO"/>
        </w:rPr>
        <w:t>secțiunea E.3 „</w:t>
      </w:r>
      <w:r>
        <w:rPr>
          <w:rFonts w:ascii="Trebuchet MS" w:hAnsi="Trebuchet MS" w:cs="Trebuchet MS"/>
          <w:color w:val="000000" w:themeColor="text1"/>
          <w:sz w:val="24"/>
          <w:szCs w:val="24"/>
          <w14:textFill>
            <w14:solidFill>
              <w14:schemeClr w14:val="tx1"/>
            </w14:solidFill>
          </w14:textFill>
        </w:rPr>
        <w:t xml:space="preserve">Date detaliate privind impozitul pe venit </w:t>
      </w:r>
      <w:r>
        <w:rPr>
          <w:rFonts w:ascii="Trebuchet MS" w:hAnsi="Trebuchet MS" w:cs="Trebuchet MS"/>
          <w:color w:val="000000" w:themeColor="text1"/>
          <w:sz w:val="24"/>
          <w:szCs w:val="24"/>
          <w:lang w:val="ro-RO"/>
          <w14:textFill>
            <w14:solidFill>
              <w14:schemeClr w14:val="tx1"/>
            </w14:solidFill>
          </w14:textFill>
        </w:rPr>
        <w:t>ș</w:t>
      </w:r>
      <w:r>
        <w:rPr>
          <w:rFonts w:ascii="Trebuchet MS" w:hAnsi="Trebuchet MS" w:cs="Trebuchet MS"/>
          <w:color w:val="000000" w:themeColor="text1"/>
          <w:sz w:val="24"/>
          <w:szCs w:val="24"/>
          <w14:textFill>
            <w14:solidFill>
              <w14:schemeClr w14:val="tx1"/>
            </w14:solidFill>
          </w14:textFill>
        </w:rPr>
        <w:t>i unele cont</w:t>
      </w:r>
      <w:r>
        <w:rPr>
          <w:rFonts w:ascii="Trebuchet MS" w:hAnsi="Trebuchet MS" w:cs="Trebuchet MS"/>
          <w:color w:val="000000" w:themeColor="text1"/>
          <w:sz w:val="24"/>
          <w:szCs w:val="24"/>
          <w:lang w:val="ro-RO"/>
          <w14:textFill>
            <w14:solidFill>
              <w14:schemeClr w14:val="tx1"/>
            </w14:solidFill>
          </w14:textFill>
        </w:rPr>
        <w:t>r</w:t>
      </w:r>
      <w:r>
        <w:rPr>
          <w:rFonts w:ascii="Trebuchet MS" w:hAnsi="Trebuchet MS" w:cs="Trebuchet MS"/>
          <w:color w:val="000000" w:themeColor="text1"/>
          <w:sz w:val="24"/>
          <w:szCs w:val="24"/>
          <w14:textFill>
            <w14:solidFill>
              <w14:schemeClr w14:val="tx1"/>
            </w14:solidFill>
          </w14:textFill>
        </w:rPr>
        <w:t>ibuții sociale obligatorii</w:t>
      </w:r>
      <w:r>
        <w:rPr>
          <w:rFonts w:ascii="Trebuchet MS" w:hAnsi="Trebuchet MS" w:cs="Trebuchet MS"/>
          <w:color w:val="000000" w:themeColor="text1"/>
          <w:sz w:val="24"/>
          <w:szCs w:val="24"/>
          <w:lang w:val="ro-RO"/>
          <w14:textFill>
            <w14:solidFill>
              <w14:schemeClr w14:val="tx1"/>
            </w14:solidFill>
          </w14:textFill>
        </w:rPr>
        <w:t xml:space="preserve">” a pozițiilor 13, 14, 17, 18, 19 și 20, care vizează facilitățile fiscale acordate </w:t>
      </w:r>
      <w:r>
        <w:rPr>
          <w:rFonts w:ascii="Trebuchet MS" w:hAnsi="Trebuchet MS" w:cs="Trebuchet MS"/>
          <w:color w:val="000000"/>
          <w:sz w:val="24"/>
          <w:lang w:val="ro-RO"/>
        </w:rPr>
        <w:t>persoanel</w:t>
      </w:r>
      <w:r>
        <w:rPr>
          <w:rFonts w:hint="default" w:ascii="Trebuchet MS" w:hAnsi="Trebuchet MS" w:cs="Trebuchet MS"/>
          <w:color w:val="000000"/>
          <w:sz w:val="24"/>
          <w:lang w:val="en-US"/>
        </w:rPr>
        <w:t>or</w:t>
      </w:r>
      <w:r>
        <w:rPr>
          <w:rFonts w:ascii="Trebuchet MS" w:hAnsi="Trebuchet MS" w:cs="Trebuchet MS"/>
          <w:color w:val="000000"/>
          <w:sz w:val="24"/>
          <w:lang w:val="ro-RO"/>
        </w:rPr>
        <w:t xml:space="preserve"> fizice </w:t>
      </w:r>
      <w:r>
        <w:rPr>
          <w:rFonts w:ascii="Trebuchet MS" w:hAnsi="Trebuchet MS" w:cs="Trebuchet MS"/>
          <w:iCs/>
          <w:color w:val="000000" w:themeColor="text1"/>
          <w:sz w:val="24"/>
          <w:szCs w:val="24"/>
          <w14:textFill>
            <w14:solidFill>
              <w14:schemeClr w14:val="tx1"/>
            </w14:solidFill>
          </w14:textFill>
        </w:rPr>
        <w:t xml:space="preserve">care desfășoară </w:t>
      </w:r>
      <w:r>
        <w:rPr>
          <w:rFonts w:ascii="Trebuchet MS" w:hAnsi="Trebuchet MS" w:eastAsia="SimSun" w:cs="Trebuchet MS"/>
          <w:sz w:val="24"/>
          <w:szCs w:val="24"/>
        </w:rPr>
        <w:t>activități de creare de</w:t>
      </w:r>
      <w:r>
        <w:rPr>
          <w:rFonts w:ascii="Trebuchet MS" w:hAnsi="Trebuchet MS" w:eastAsia="SimSun" w:cs="Trebuchet MS"/>
          <w:sz w:val="24"/>
          <w:szCs w:val="24"/>
          <w:lang w:val="ro-RO"/>
        </w:rPr>
        <w:t xml:space="preserve"> </w:t>
      </w:r>
      <w:r>
        <w:rPr>
          <w:rFonts w:ascii="Trebuchet MS" w:hAnsi="Trebuchet MS" w:eastAsia="SimSun" w:cs="Trebuchet MS"/>
          <w:sz w:val="24"/>
          <w:szCs w:val="24"/>
        </w:rPr>
        <w:t>programe pentru calculator</w:t>
      </w:r>
      <w:r>
        <w:rPr>
          <w:rFonts w:ascii="Trebuchet MS" w:hAnsi="Trebuchet MS" w:eastAsia="SimSun" w:cs="Trebuchet MS"/>
          <w:sz w:val="24"/>
          <w:szCs w:val="24"/>
          <w:lang w:val="ro-RO"/>
        </w:rPr>
        <w:t xml:space="preserve">, sau </w:t>
      </w:r>
      <w:r>
        <w:rPr>
          <w:rFonts w:ascii="Trebuchet MS" w:hAnsi="Trebuchet MS" w:cs="Trebuchet MS"/>
          <w:iCs/>
          <w:color w:val="000000" w:themeColor="text1"/>
          <w:sz w:val="24"/>
          <w:szCs w:val="24"/>
          <w14:textFill>
            <w14:solidFill>
              <w14:schemeClr w14:val="tx1"/>
            </w14:solidFill>
          </w14:textFill>
        </w:rPr>
        <w:t xml:space="preserve">în sectorul de construcții/agricol </w:t>
      </w:r>
      <w:r>
        <w:rPr>
          <w:rFonts w:ascii="Trebuchet MS" w:hAnsi="Trebuchet MS" w:cs="Trebuchet MS"/>
          <w:iCs/>
          <w:color w:val="000000" w:themeColor="text1"/>
          <w:sz w:val="24"/>
          <w:szCs w:val="24"/>
          <w:lang w:val="ro-RO"/>
          <w14:textFill>
            <w14:solidFill>
              <w14:schemeClr w14:val="tx1"/>
            </w14:solidFill>
          </w14:textFill>
        </w:rPr>
        <w:t xml:space="preserve">și în industria </w:t>
      </w:r>
      <w:r>
        <w:rPr>
          <w:rFonts w:ascii="Trebuchet MS" w:hAnsi="Trebuchet MS" w:cs="Trebuchet MS"/>
          <w:iCs/>
          <w:color w:val="000000" w:themeColor="text1"/>
          <w:sz w:val="24"/>
          <w:szCs w:val="24"/>
          <w14:textFill>
            <w14:solidFill>
              <w14:schemeClr w14:val="tx1"/>
            </w14:solidFill>
          </w14:textFill>
        </w:rPr>
        <w:t>alimentară</w:t>
      </w:r>
      <w:r>
        <w:rPr>
          <w:rFonts w:ascii="Trebuchet MS" w:hAnsi="Trebuchet MS" w:cs="Trebuchet MS"/>
          <w:color w:val="000000" w:themeColor="text1"/>
          <w:sz w:val="24"/>
          <w:szCs w:val="24"/>
          <w:lang w:val="ro-RO"/>
          <w14:textFill>
            <w14:solidFill>
              <w14:schemeClr w14:val="tx1"/>
            </w14:solidFill>
          </w14:textFill>
        </w:rPr>
        <w:t>;</w:t>
      </w:r>
    </w:p>
    <w:p>
      <w:pPr>
        <w:numPr>
          <w:ilvl w:val="0"/>
          <w:numId w:val="1"/>
        </w:numPr>
        <w:suppressAutoHyphens/>
        <w:autoSpaceDE/>
        <w:autoSpaceDN/>
        <w:adjustRightInd/>
        <w:spacing w:after="0" w:line="240" w:lineRule="auto"/>
        <w:jc w:val="both"/>
        <w:outlineLvl w:val="9"/>
        <w:rPr>
          <w:rFonts w:ascii="Trebuchet MS" w:hAnsi="Trebuchet MS" w:cs="Trebuchet MS"/>
          <w:iCs/>
          <w:color w:val="000000" w:themeColor="text1"/>
          <w:sz w:val="24"/>
          <w:szCs w:val="24"/>
          <w:lang w:val="ro-RO"/>
          <w14:textFill>
            <w14:solidFill>
              <w14:schemeClr w14:val="tx1"/>
            </w14:solidFill>
          </w14:textFill>
        </w:rPr>
      </w:pPr>
      <w:r>
        <w:rPr>
          <w:rFonts w:ascii="Trebuchet MS" w:hAnsi="Trebuchet MS" w:cs="Trebuchet MS"/>
          <w:sz w:val="24"/>
          <w:szCs w:val="24"/>
          <w:lang w:val="ro-RO" w:eastAsia="zh-CN"/>
        </w:rPr>
        <w:t>Actualizarea Nomenclatorului „Creanțe fiscale” din Anexa 2,</w:t>
      </w:r>
      <w:r>
        <w:rPr>
          <w:rFonts w:hint="default" w:ascii="Trebuchet MS" w:hAnsi="Trebuchet MS" w:cs="Trebuchet MS"/>
          <w:color w:val="auto"/>
          <w:sz w:val="24"/>
          <w:szCs w:val="24"/>
          <w:lang w:val="ro-RO" w:eastAsia="zh-CN"/>
        </w:rPr>
        <w:t xml:space="preserve"> </w:t>
      </w:r>
      <w:r>
        <w:rPr>
          <w:rFonts w:ascii="Trebuchet MS" w:hAnsi="Trebuchet MS" w:cs="Trebuchet MS"/>
          <w:sz w:val="24"/>
          <w:szCs w:val="24"/>
          <w:lang w:val="ro-RO" w:eastAsia="zh-CN"/>
        </w:rPr>
        <w:t xml:space="preserve">prin eliminarea creanțelor de la pozițiile 2.1, 2.2. și 2.3 care vizau contribuția de asigurări sociale </w:t>
      </w:r>
      <w:r>
        <w:rPr>
          <w:rFonts w:ascii="Trebuchet MS" w:hAnsi="Trebuchet MS" w:cs="Trebuchet MS"/>
          <w:color w:val="000000" w:themeColor="text1"/>
          <w:sz w:val="24"/>
          <w:szCs w:val="24"/>
          <w:lang w:val="ro-RO"/>
          <w14:textFill>
            <w14:solidFill>
              <w14:schemeClr w14:val="tx1"/>
            </w14:solidFill>
          </w14:textFill>
        </w:rPr>
        <w:t xml:space="preserve">datorată de către persoanele fizice care se încadrau în condițiile prevăzute la art. </w:t>
      </w:r>
      <w:r>
        <w:rPr>
          <w:rFonts w:ascii="Trebuchet MS" w:hAnsi="Trebuchet MS" w:cs="Trebuchet MS"/>
          <w:iCs/>
          <w:color w:val="000000" w:themeColor="text1"/>
          <w:sz w:val="24"/>
          <w:szCs w:val="24"/>
          <w:lang w:val="ro-RO"/>
          <w14:textFill>
            <w14:solidFill>
              <w14:schemeClr w14:val="tx1"/>
            </w14:solidFill>
          </w14:textFill>
        </w:rPr>
        <w:t>60 pct. 2, 5 și 7 din Codul fiscal, precum și actualizarea</w:t>
      </w:r>
      <w:r>
        <w:rPr>
          <w:rFonts w:hint="default" w:ascii="Trebuchet MS" w:hAnsi="Trebuchet MS" w:cs="Trebuchet MS"/>
          <w:color w:val="auto"/>
          <w:sz w:val="24"/>
          <w:szCs w:val="24"/>
          <w:lang w:val="ro-RO" w:eastAsia="zh-CN"/>
        </w:rPr>
        <w:t xml:space="preserve"> temeiului legal pentru creanțele reprezentând contribuția de asigurări sociale, respectiv contribuția de asigurări sociale de sănătate reținută la sursă de plătitorii de venituri</w:t>
      </w:r>
      <w:r>
        <w:rPr>
          <w:rFonts w:ascii="Trebuchet MS" w:hAnsi="Trebuchet MS" w:cs="Trebuchet MS"/>
          <w:iCs/>
          <w:color w:val="000000" w:themeColor="text1"/>
          <w:sz w:val="24"/>
          <w:szCs w:val="24"/>
          <w:lang w:val="ro-RO"/>
          <w14:textFill>
            <w14:solidFill>
              <w14:schemeClr w14:val="tx1"/>
            </w14:solidFill>
          </w14:textFill>
        </w:rPr>
        <w:t>;</w:t>
      </w:r>
    </w:p>
    <w:p>
      <w:pPr>
        <w:numPr>
          <w:ilvl w:val="0"/>
          <w:numId w:val="1"/>
        </w:numPr>
        <w:suppressAutoHyphens/>
        <w:autoSpaceDE w:val="0"/>
        <w:autoSpaceDN w:val="0"/>
        <w:adjustRightInd w:val="0"/>
        <w:spacing w:after="0" w:line="240" w:lineRule="auto"/>
        <w:jc w:val="both"/>
        <w:rPr>
          <w:rFonts w:ascii="Trebuchet MS" w:hAnsi="Trebuchet MS" w:cs="Trebuchet MS"/>
          <w:color w:val="000000" w:themeColor="text1"/>
          <w:sz w:val="24"/>
          <w:szCs w:val="24"/>
          <w:lang w:val="ro-RO"/>
          <w14:textFill>
            <w14:solidFill>
              <w14:schemeClr w14:val="tx1"/>
            </w14:solidFill>
          </w14:textFill>
        </w:rPr>
      </w:pPr>
      <w:r>
        <w:rPr>
          <w:rFonts w:ascii="Trebuchet MS" w:hAnsi="Trebuchet MS" w:cs="Trebuchet MS"/>
          <w:color w:val="000000" w:themeColor="text1"/>
          <w:sz w:val="24"/>
          <w:szCs w:val="24"/>
          <w:lang w:val="ro-RO"/>
          <w14:textFill>
            <w14:solidFill>
              <w14:schemeClr w14:val="tx1"/>
            </w14:solidFill>
          </w14:textFill>
        </w:rPr>
        <w:t>Actualizarea Nomenclatorului „</w:t>
      </w:r>
      <w:r>
        <w:rPr>
          <w:rFonts w:ascii="Trebuchet MS" w:hAnsi="Trebuchet MS" w:cs="Trebuchet MS"/>
          <w:color w:val="000000" w:themeColor="text1"/>
          <w:sz w:val="24"/>
          <w:szCs w:val="24"/>
          <w14:textFill>
            <w14:solidFill>
              <w14:schemeClr w14:val="tx1"/>
            </w14:solidFill>
          </w14:textFill>
        </w:rPr>
        <w:t>Tip asigurat pentru alte entit</w:t>
      </w:r>
      <w:r>
        <w:rPr>
          <w:rFonts w:ascii="Trebuchet MS" w:hAnsi="Trebuchet MS" w:cs="Trebuchet MS"/>
          <w:color w:val="000000" w:themeColor="text1"/>
          <w:sz w:val="24"/>
          <w:szCs w:val="24"/>
          <w:lang w:val="ro-RO"/>
          <w14:textFill>
            <w14:solidFill>
              <w14:schemeClr w14:val="tx1"/>
            </w14:solidFill>
          </w14:textFill>
        </w:rPr>
        <w:t>ăți asimilate angajatorului” din anexa 3, prin:</w:t>
      </w:r>
    </w:p>
    <w:p>
      <w:pPr>
        <w:suppressAutoHyphens/>
        <w:autoSpaceDE w:val="0"/>
        <w:autoSpaceDN w:val="0"/>
        <w:adjustRightInd w:val="0"/>
        <w:spacing w:line="259" w:lineRule="atLeast"/>
        <w:jc w:val="both"/>
        <w:rPr>
          <w:rFonts w:ascii="Trebuchet MS" w:hAnsi="Trebuchet MS" w:cs="Trebuchet MS"/>
          <w:iCs/>
          <w:color w:val="000000" w:themeColor="text1"/>
          <w:sz w:val="24"/>
          <w:szCs w:val="24"/>
          <w:lang w:val="ro-RO"/>
          <w14:textFill>
            <w14:solidFill>
              <w14:schemeClr w14:val="tx1"/>
            </w14:solidFill>
          </w14:textFill>
        </w:rPr>
      </w:pPr>
      <w:r>
        <w:rPr>
          <w:rFonts w:ascii="Trebuchet MS" w:hAnsi="Trebuchet MS" w:cs="Trebuchet MS"/>
          <w:color w:val="000000" w:themeColor="text1"/>
          <w:sz w:val="24"/>
          <w:szCs w:val="24"/>
          <w:lang w:val="ro-RO"/>
          <w14:textFill>
            <w14:solidFill>
              <w14:schemeClr w14:val="tx1"/>
            </w14:solidFill>
          </w14:textFill>
        </w:rPr>
        <w:t xml:space="preserve">- introducerea </w:t>
      </w:r>
      <w:r>
        <w:rPr>
          <w:rFonts w:ascii="Trebuchet MS" w:hAnsi="Trebuchet MS" w:cs="Trebuchet MS"/>
          <w:sz w:val="24"/>
          <w:szCs w:val="24"/>
          <w:lang w:val="ro-RO" w:eastAsia="zh-CN"/>
        </w:rPr>
        <w:t>tipurilor de asigurați „</w:t>
      </w:r>
      <w:r>
        <w:rPr>
          <w:rFonts w:ascii="Trebuchet MS" w:hAnsi="Trebuchet MS" w:eastAsia="Calibri" w:cs="Trebuchet MS"/>
          <w:color w:val="000000" w:themeColor="text1"/>
          <w:sz w:val="24"/>
          <w:szCs w:val="24"/>
          <w:lang w:val="ro-RO"/>
          <w14:textFill>
            <w14:solidFill>
              <w14:schemeClr w14:val="tx1"/>
            </w14:solidFill>
          </w14:textFill>
        </w:rPr>
        <w:t>Rezerviști voluntari dispăruți, răpiți sau căzuți în captivitate pe timpul mobilizării sau în cazul stării de război, precum și al executării misiunilor</w:t>
      </w:r>
      <w:r>
        <w:rPr>
          <w:rFonts w:ascii="Trebuchet MS" w:hAnsi="Trebuchet MS" w:cs="Trebuchet MS"/>
          <w:sz w:val="24"/>
          <w:szCs w:val="24"/>
          <w:lang w:val="ro-RO"/>
        </w:rPr>
        <w:t xml:space="preserve">” și </w:t>
      </w:r>
      <w:r>
        <w:rPr>
          <w:rFonts w:ascii="Trebuchet MS" w:hAnsi="Trebuchet MS" w:cs="Trebuchet MS"/>
          <w:sz w:val="24"/>
          <w:szCs w:val="24"/>
          <w:lang w:val="ro-RO" w:eastAsia="zh-CN"/>
        </w:rPr>
        <w:t>„</w:t>
      </w:r>
      <w:r>
        <w:rPr>
          <w:rFonts w:ascii="Trebuchet MS" w:hAnsi="Trebuchet MS" w:cs="Trebuchet MS"/>
          <w:color w:val="000000" w:themeColor="text1"/>
          <w:sz w:val="24"/>
          <w:szCs w:val="24"/>
          <w14:textFill>
            <w14:solidFill>
              <w14:schemeClr w14:val="tx1"/>
            </w14:solidFill>
          </w14:textFill>
        </w:rPr>
        <w:t>Rezerviști voluntari în perioada în care nu participă la instruire</w:t>
      </w:r>
      <w:r>
        <w:rPr>
          <w:rFonts w:ascii="Trebuchet MS" w:hAnsi="Trebuchet MS" w:cs="Trebuchet MS"/>
          <w:sz w:val="24"/>
          <w:szCs w:val="24"/>
          <w:lang w:val="ro-RO"/>
        </w:rPr>
        <w:t>”, în conformitate cu prevederile Legii nr</w:t>
      </w:r>
      <w:r>
        <w:rPr>
          <w:rFonts w:ascii="Trebuchet MS" w:hAnsi="Trebuchet MS" w:cs="Trebuchet MS"/>
          <w:sz w:val="24"/>
          <w:szCs w:val="24"/>
        </w:rPr>
        <w:t>.2</w:t>
      </w:r>
      <w:r>
        <w:rPr>
          <w:rFonts w:ascii="Trebuchet MS" w:hAnsi="Trebuchet MS" w:cs="Trebuchet MS"/>
          <w:color w:val="000000" w:themeColor="text1"/>
          <w:sz w:val="24"/>
          <w:szCs w:val="24"/>
          <w:lang w:val="ro-RO"/>
          <w14:textFill>
            <w14:solidFill>
              <w14:schemeClr w14:val="tx1"/>
            </w14:solidFill>
          </w14:textFill>
        </w:rPr>
        <w:t xml:space="preserve">70/2015 privind Statutul </w:t>
      </w:r>
      <w:r>
        <w:rPr>
          <w:rFonts w:ascii="Trebuchet MS" w:hAnsi="Trebuchet MS" w:cs="Trebuchet MS"/>
          <w:iCs/>
          <w:color w:val="000000" w:themeColor="text1"/>
          <w:sz w:val="24"/>
          <w:szCs w:val="24"/>
          <w:lang w:val="ro-RO"/>
          <w14:textFill>
            <w14:solidFill>
              <w14:schemeClr w14:val="tx1"/>
            </w14:solidFill>
          </w14:textFill>
        </w:rPr>
        <w:t>rezerviștilor voluntari, cu modificările ulterioare;</w:t>
      </w:r>
    </w:p>
    <w:p>
      <w:pPr>
        <w:numPr>
          <w:ilvl w:val="255"/>
          <w:numId w:val="0"/>
        </w:numPr>
        <w:suppressAutoHyphens/>
        <w:autoSpaceDE w:val="0"/>
        <w:autoSpaceDN w:val="0"/>
        <w:adjustRightInd w:val="0"/>
        <w:spacing w:after="0" w:line="240" w:lineRule="auto"/>
        <w:jc w:val="both"/>
        <w:rPr>
          <w:rFonts w:ascii="Trebuchet MS" w:hAnsi="Trebuchet MS" w:cs="Trebuchet MS"/>
          <w:sz w:val="24"/>
          <w:szCs w:val="24"/>
        </w:rPr>
      </w:pPr>
      <w:r>
        <w:rPr>
          <w:rFonts w:ascii="Trebuchet MS" w:hAnsi="Trebuchet MS" w:cs="Trebuchet MS"/>
          <w:sz w:val="24"/>
          <w:szCs w:val="24"/>
          <w:lang w:val="ro-RO" w:eastAsia="zh-CN"/>
        </w:rPr>
        <w:t>5. Actualizarea Nomenclatorului</w:t>
      </w:r>
      <w:r>
        <w:rPr>
          <w:rFonts w:ascii="Trebuchet MS" w:hAnsi="Trebuchet MS" w:cs="Trebuchet MS"/>
          <w:sz w:val="24"/>
          <w:szCs w:val="24"/>
          <w:lang w:eastAsia="zh-CN"/>
        </w:rPr>
        <w:t xml:space="preserve"> </w:t>
      </w:r>
      <w:r>
        <w:rPr>
          <w:rFonts w:ascii="Trebuchet MS" w:hAnsi="Trebuchet MS" w:cs="Trebuchet MS"/>
          <w:sz w:val="24"/>
          <w:szCs w:val="24"/>
          <w:lang w:val="ro-RO" w:eastAsia="zh-CN"/>
        </w:rPr>
        <w:t>„Tip asigurat” din Anexa 4, prin:</w:t>
      </w:r>
    </w:p>
    <w:p>
      <w:pPr>
        <w:suppressAutoHyphens/>
        <w:autoSpaceDE w:val="0"/>
        <w:autoSpaceDN w:val="0"/>
        <w:adjustRightInd w:val="0"/>
        <w:spacing w:after="0" w:line="240" w:lineRule="auto"/>
        <w:jc w:val="both"/>
        <w:rPr>
          <w:rFonts w:ascii="Trebuchet MS" w:hAnsi="Trebuchet MS" w:cs="Trebuchet MS"/>
          <w:color w:val="000000" w:themeColor="text1"/>
          <w:sz w:val="24"/>
          <w:szCs w:val="24"/>
          <w:lang w:val="ro-RO"/>
          <w14:textFill>
            <w14:solidFill>
              <w14:schemeClr w14:val="tx1"/>
            </w14:solidFill>
          </w14:textFill>
        </w:rPr>
      </w:pPr>
      <w:r>
        <w:rPr>
          <w:rFonts w:ascii="Trebuchet MS" w:hAnsi="Trebuchet MS" w:cs="Trebuchet MS"/>
          <w:sz w:val="24"/>
          <w:szCs w:val="24"/>
          <w:lang w:val="ro-RO" w:eastAsia="zh-CN"/>
        </w:rPr>
        <w:t>- redenumirea tipului de asigurat de la val.1 „</w:t>
      </w:r>
      <w:r>
        <w:rPr>
          <w:rFonts w:ascii="Trebuchet MS" w:hAnsi="Trebuchet MS" w:cs="Trebuchet MS"/>
          <w:color w:val="000000" w:themeColor="text1"/>
          <w:sz w:val="24"/>
          <w:szCs w:val="24"/>
          <w14:textFill>
            <w14:solidFill>
              <w14:schemeClr w14:val="tx1"/>
            </w14:solidFill>
          </w14:textFill>
        </w:rPr>
        <w:t xml:space="preserve">Salariat </w:t>
      </w:r>
      <w:r>
        <w:rPr>
          <w:rFonts w:ascii="Trebuchet MS" w:hAnsi="Trebuchet MS" w:cs="Trebuchet MS"/>
          <w:color w:val="000000" w:themeColor="text1"/>
          <w:sz w:val="24"/>
          <w:szCs w:val="24"/>
          <w:lang w:val="ro-RO"/>
          <w14:textFill>
            <w14:solidFill>
              <w14:schemeClr w14:val="tx1"/>
            </w14:solidFill>
          </w14:textFill>
        </w:rPr>
        <w:t xml:space="preserve">sau salariat care desfășoară  </w:t>
      </w:r>
      <w:r>
        <w:rPr>
          <w:rFonts w:ascii="Trebuchet MS" w:hAnsi="Trebuchet MS" w:eastAsia="SimSun" w:cs="Trebuchet MS"/>
          <w:sz w:val="24"/>
          <w:szCs w:val="24"/>
        </w:rPr>
        <w:t>activități de creare de programe pentru calculator</w:t>
      </w:r>
      <w:r>
        <w:rPr>
          <w:rFonts w:ascii="Trebuchet MS" w:hAnsi="Trebuchet MS" w:eastAsia="SimSun" w:cs="Trebuchet MS"/>
          <w:sz w:val="24"/>
          <w:szCs w:val="24"/>
          <w:lang w:val="ro-RO"/>
        </w:rPr>
        <w:t xml:space="preserve">, sau </w:t>
      </w:r>
      <w:r>
        <w:rPr>
          <w:rFonts w:ascii="Trebuchet MS" w:hAnsi="Trebuchet MS" w:cs="Trebuchet MS"/>
          <w:iCs/>
          <w:color w:val="000000" w:themeColor="text1"/>
          <w:sz w:val="24"/>
          <w:szCs w:val="24"/>
          <w14:textFill>
            <w14:solidFill>
              <w14:schemeClr w14:val="tx1"/>
            </w14:solidFill>
          </w14:textFill>
        </w:rPr>
        <w:t xml:space="preserve">în sectorul de construcții/agricol </w:t>
      </w:r>
      <w:r>
        <w:rPr>
          <w:rFonts w:ascii="Trebuchet MS" w:hAnsi="Trebuchet MS" w:cs="Trebuchet MS"/>
          <w:iCs/>
          <w:color w:val="000000" w:themeColor="text1"/>
          <w:sz w:val="24"/>
          <w:szCs w:val="24"/>
          <w:lang w:val="ro-RO"/>
          <w14:textFill>
            <w14:solidFill>
              <w14:schemeClr w14:val="tx1"/>
            </w14:solidFill>
          </w14:textFill>
        </w:rPr>
        <w:t xml:space="preserve">și în industria </w:t>
      </w:r>
      <w:r>
        <w:rPr>
          <w:rFonts w:ascii="Trebuchet MS" w:hAnsi="Trebuchet MS" w:cs="Trebuchet MS"/>
          <w:iCs/>
          <w:color w:val="000000" w:themeColor="text1"/>
          <w:sz w:val="24"/>
          <w:szCs w:val="24"/>
          <w14:textFill>
            <w14:solidFill>
              <w14:schemeClr w14:val="tx1"/>
            </w14:solidFill>
          </w14:textFill>
        </w:rPr>
        <w:t>alimentară</w:t>
      </w:r>
      <w:r>
        <w:rPr>
          <w:rFonts w:ascii="Trebuchet MS" w:hAnsi="Trebuchet MS" w:cs="Trebuchet MS"/>
          <w:iCs/>
          <w:color w:val="000000" w:themeColor="text1"/>
          <w:sz w:val="24"/>
          <w:szCs w:val="24"/>
          <w:lang w:val="ro-RO"/>
          <w14:textFill>
            <w14:solidFill>
              <w14:schemeClr w14:val="tx1"/>
            </w14:solidFill>
          </w14:textFill>
        </w:rPr>
        <w:t xml:space="preserve"> </w:t>
      </w:r>
      <w:r>
        <w:rPr>
          <w:rFonts w:ascii="Trebuchet MS" w:hAnsi="Trebuchet MS" w:cs="Trebuchet MS"/>
          <w:color w:val="000000" w:themeColor="text1"/>
          <w:sz w:val="24"/>
          <w:szCs w:val="24"/>
          <w:lang w:val="ro-RO"/>
          <w14:textFill>
            <w14:solidFill>
              <w14:schemeClr w14:val="tx1"/>
            </w14:solidFill>
          </w14:textFill>
        </w:rPr>
        <w:t xml:space="preserve"> după caz, care nu se încadrează în condițiile prevăzute la art. 60 pct.2, pct. 5 sau pct. 7 din Legea nr. 227/2015 privind Codul fiscal, cu modificările și completările ulterioare (Codul fiscal)”, care devine</w:t>
      </w:r>
      <w:r>
        <w:rPr>
          <w:rFonts w:hint="default" w:ascii="Trebuchet MS" w:hAnsi="Trebuchet MS" w:cs="Trebuchet MS"/>
          <w:color w:val="000000" w:themeColor="text1"/>
          <w:sz w:val="24"/>
          <w:szCs w:val="24"/>
          <w:lang w:val="en-US"/>
          <w14:textFill>
            <w14:solidFill>
              <w14:schemeClr w14:val="tx1"/>
            </w14:solidFill>
          </w14:textFill>
        </w:rPr>
        <w:t xml:space="preserve"> </w:t>
      </w:r>
      <w:r>
        <w:rPr>
          <w:rFonts w:ascii="Trebuchet MS" w:hAnsi="Trebuchet MS" w:cs="Trebuchet MS"/>
          <w:color w:val="000000" w:themeColor="text1"/>
          <w:sz w:val="24"/>
          <w:szCs w:val="24"/>
          <w:lang w:val="ro-RO"/>
          <w14:textFill>
            <w14:solidFill>
              <w14:schemeClr w14:val="tx1"/>
            </w14:solidFill>
          </w14:textFill>
        </w:rPr>
        <w:t>„Salariat</w:t>
      </w:r>
      <w:r>
        <w:rPr>
          <w:rFonts w:hint="default" w:ascii="Trebuchet MS" w:hAnsi="Trebuchet MS" w:cs="Trebuchet MS"/>
          <w:color w:val="000000" w:themeColor="text1"/>
          <w:sz w:val="24"/>
          <w:szCs w:val="24"/>
          <w:lang w:val="en-US"/>
          <w14:textFill>
            <w14:solidFill>
              <w14:schemeClr w14:val="tx1"/>
            </w14:solidFill>
          </w14:textFill>
        </w:rPr>
        <w:t>,</w:t>
      </w:r>
      <w:r>
        <w:rPr>
          <w:rFonts w:ascii="Trebuchet MS" w:hAnsi="Trebuchet MS" w:cs="Trebuchet MS"/>
          <w:color w:val="000000" w:themeColor="text1"/>
          <w:sz w:val="24"/>
          <w:szCs w:val="24"/>
          <w:lang w:val="ro-RO"/>
          <w14:textFill>
            <w14:solidFill>
              <w14:schemeClr w14:val="tx1"/>
            </w14:solidFill>
          </w14:textFill>
        </w:rPr>
        <w:t xml:space="preserve"> cu excepția salariaților din domeniul construcții”;</w:t>
      </w:r>
    </w:p>
    <w:p>
      <w:pPr>
        <w:suppressAutoHyphens/>
        <w:autoSpaceDE w:val="0"/>
        <w:autoSpaceDN w:val="0"/>
        <w:adjustRightInd w:val="0"/>
        <w:spacing w:after="0" w:line="240" w:lineRule="auto"/>
        <w:jc w:val="both"/>
        <w:rPr>
          <w:rFonts w:ascii="Trebuchet MS" w:hAnsi="Trebuchet MS" w:cs="Trebuchet MS"/>
          <w:color w:val="000000" w:themeColor="text1"/>
          <w:sz w:val="24"/>
          <w:szCs w:val="24"/>
          <w:lang w:val="ro-RO"/>
          <w14:textFill>
            <w14:solidFill>
              <w14:schemeClr w14:val="tx1"/>
            </w14:solidFill>
          </w14:textFill>
        </w:rPr>
      </w:pPr>
      <w:r>
        <w:rPr>
          <w:rFonts w:ascii="Trebuchet MS" w:hAnsi="Trebuchet MS" w:cs="Trebuchet MS"/>
          <w:color w:val="000000" w:themeColor="text1"/>
          <w:sz w:val="24"/>
          <w:szCs w:val="24"/>
          <w:lang w:val="ro-RO"/>
          <w14:textFill>
            <w14:solidFill>
              <w14:schemeClr w14:val="tx1"/>
            </w14:solidFill>
          </w14:textFill>
        </w:rPr>
        <w:t>- eliminarea tipurilor de asigurați  „1.1.</w:t>
      </w:r>
      <w:r>
        <w:rPr>
          <w:rFonts w:ascii="Trebuchet MS" w:hAnsi="Trebuchet MS" w:cs="Trebuchet MS"/>
          <w:color w:val="000000" w:themeColor="text1"/>
          <w:sz w:val="24"/>
          <w:szCs w:val="24"/>
          <w14:textFill>
            <w14:solidFill>
              <w14:schemeClr w14:val="tx1"/>
            </w14:solidFill>
          </w14:textFill>
        </w:rPr>
        <w:t>Salariat care își desf</w:t>
      </w:r>
      <w:r>
        <w:rPr>
          <w:rFonts w:ascii="Trebuchet MS" w:hAnsi="Trebuchet MS" w:cs="Trebuchet MS"/>
          <w:color w:val="000000" w:themeColor="text1"/>
          <w:sz w:val="24"/>
          <w:szCs w:val="24"/>
          <w:lang w:val="ro-RO"/>
          <w14:textFill>
            <w14:solidFill>
              <w14:schemeClr w14:val="tx1"/>
            </w14:solidFill>
          </w14:textFill>
        </w:rPr>
        <w:t xml:space="preserve">ășoară activitatea în sectorul agricol și în industria alimentară, </w:t>
      </w:r>
      <w:r>
        <w:rPr>
          <w:rFonts w:ascii="Trebuchet MS" w:hAnsi="Trebuchet MS" w:cs="Trebuchet MS"/>
          <w:color w:val="000000" w:themeColor="text1"/>
          <w:sz w:val="24"/>
          <w:szCs w:val="24"/>
          <w14:textFill>
            <w14:solidFill>
              <w14:schemeClr w14:val="tx1"/>
            </w14:solidFill>
          </w14:textFill>
        </w:rPr>
        <w:t>care se încadreaz</w:t>
      </w:r>
      <w:r>
        <w:rPr>
          <w:rFonts w:ascii="Trebuchet MS" w:hAnsi="Trebuchet MS" w:cs="Trebuchet MS"/>
          <w:color w:val="000000" w:themeColor="text1"/>
          <w:sz w:val="24"/>
          <w:szCs w:val="24"/>
          <w:lang w:val="ro-RO"/>
          <w14:textFill>
            <w14:solidFill>
              <w14:schemeClr w14:val="tx1"/>
            </w14:solidFill>
          </w14:textFill>
        </w:rPr>
        <w:t>ă în condițiile prevăzute la art. 60 pct. 7 din Codul fiscal” și „1.3.</w:t>
      </w:r>
      <w:r>
        <w:rPr>
          <w:rFonts w:ascii="Trebuchet MS" w:hAnsi="Trebuchet MS" w:cs="Trebuchet MS"/>
          <w:color w:val="000000" w:themeColor="text1"/>
          <w:sz w:val="24"/>
          <w:szCs w:val="24"/>
          <w14:textFill>
            <w14:solidFill>
              <w14:schemeClr w14:val="tx1"/>
            </w14:solidFill>
          </w14:textFill>
        </w:rPr>
        <w:t xml:space="preserve">Salariat care desfășoară </w:t>
      </w:r>
      <w:r>
        <w:rPr>
          <w:rFonts w:ascii="Trebuchet MS" w:hAnsi="Trebuchet MS" w:eastAsia="SimSun" w:cs="Trebuchet MS"/>
          <w:sz w:val="24"/>
          <w:szCs w:val="24"/>
        </w:rPr>
        <w:t>activități de creare de programe pentru calculator</w:t>
      </w:r>
      <w:r>
        <w:rPr>
          <w:rFonts w:ascii="Trebuchet MS" w:hAnsi="Trebuchet MS" w:eastAsia="SimSun" w:cs="Trebuchet MS"/>
          <w:sz w:val="24"/>
          <w:szCs w:val="24"/>
          <w:lang w:val="ro-RO"/>
        </w:rPr>
        <w:t xml:space="preserve"> </w:t>
      </w:r>
      <w:r>
        <w:rPr>
          <w:rFonts w:ascii="Trebuchet MS" w:hAnsi="Trebuchet MS" w:cs="Trebuchet MS"/>
          <w:color w:val="000000" w:themeColor="text1"/>
          <w:sz w:val="24"/>
          <w:szCs w:val="24"/>
          <w14:textFill>
            <w14:solidFill>
              <w14:schemeClr w14:val="tx1"/>
            </w14:solidFill>
          </w14:textFill>
        </w:rPr>
        <w:t>care se încadreaz</w:t>
      </w:r>
      <w:r>
        <w:rPr>
          <w:rFonts w:ascii="Trebuchet MS" w:hAnsi="Trebuchet MS" w:cs="Trebuchet MS"/>
          <w:color w:val="000000" w:themeColor="text1"/>
          <w:sz w:val="24"/>
          <w:szCs w:val="24"/>
          <w:lang w:val="ro-RO"/>
          <w14:textFill>
            <w14:solidFill>
              <w14:schemeClr w14:val="tx1"/>
            </w14:solidFill>
          </w14:textFill>
        </w:rPr>
        <w:t>ă în condițiile prevăzute la art.60 pct.2 din Codul fiscal”;</w:t>
      </w:r>
    </w:p>
    <w:p>
      <w:pPr>
        <w:suppressAutoHyphens/>
        <w:autoSpaceDE w:val="0"/>
        <w:autoSpaceDN w:val="0"/>
        <w:adjustRightInd w:val="0"/>
        <w:spacing w:after="0" w:line="240" w:lineRule="auto"/>
        <w:jc w:val="both"/>
        <w:rPr>
          <w:rFonts w:ascii="Trebuchet MS" w:hAnsi="Trebuchet MS" w:cs="Trebuchet MS"/>
          <w:color w:val="000000" w:themeColor="text1"/>
          <w:sz w:val="24"/>
          <w:szCs w:val="24"/>
          <w:lang w:val="ro-RO"/>
          <w14:textFill>
            <w14:solidFill>
              <w14:schemeClr w14:val="tx1"/>
            </w14:solidFill>
          </w14:textFill>
        </w:rPr>
      </w:pPr>
      <w:r>
        <w:rPr>
          <w:rFonts w:ascii="Trebuchet MS" w:hAnsi="Trebuchet MS" w:cs="Trebuchet MS"/>
          <w:color w:val="000000" w:themeColor="text1"/>
          <w:sz w:val="24"/>
          <w:szCs w:val="24"/>
          <w14:textFill>
            <w14:solidFill>
              <w14:schemeClr w14:val="tx1"/>
            </w14:solidFill>
          </w14:textFill>
        </w:rPr>
        <w:t xml:space="preserve">- </w:t>
      </w:r>
      <w:r>
        <w:rPr>
          <w:rFonts w:ascii="Trebuchet MS" w:hAnsi="Trebuchet MS" w:cs="Trebuchet MS"/>
          <w:sz w:val="24"/>
          <w:szCs w:val="24"/>
          <w:lang w:val="ro-RO" w:eastAsia="zh-CN"/>
        </w:rPr>
        <w:t>redenumirea tipului de asigurat „1.2.</w:t>
      </w:r>
      <w:r>
        <w:rPr>
          <w:rFonts w:ascii="Trebuchet MS" w:hAnsi="Trebuchet MS" w:cs="Trebuchet MS"/>
          <w:color w:val="000000" w:themeColor="text1"/>
          <w:sz w:val="24"/>
          <w:szCs w:val="24"/>
          <w14:textFill>
            <w14:solidFill>
              <w14:schemeClr w14:val="tx1"/>
            </w14:solidFill>
          </w14:textFill>
        </w:rPr>
        <w:t>Salariat care își desfășoară activitatea în domeniul construcțiilor care se încadreaz</w:t>
      </w:r>
      <w:r>
        <w:rPr>
          <w:rFonts w:ascii="Trebuchet MS" w:hAnsi="Trebuchet MS" w:cs="Trebuchet MS"/>
          <w:color w:val="000000" w:themeColor="text1"/>
          <w:sz w:val="24"/>
          <w:szCs w:val="24"/>
          <w:lang w:val="ro-RO"/>
          <w14:textFill>
            <w14:solidFill>
              <w14:schemeClr w14:val="tx1"/>
            </w14:solidFill>
          </w14:textFill>
        </w:rPr>
        <w:t xml:space="preserve">ă în condițiile prevăzute la art. 60 pct. 5 din Codul fiscal” care devine „1.1 </w:t>
      </w:r>
      <w:r>
        <w:rPr>
          <w:rFonts w:ascii="Trebuchet MS" w:hAnsi="Trebuchet MS" w:cs="Trebuchet MS"/>
          <w:color w:val="000000" w:themeColor="text1"/>
          <w:sz w:val="24"/>
          <w:szCs w:val="24"/>
          <w14:textFill>
            <w14:solidFill>
              <w14:schemeClr w14:val="tx1"/>
            </w14:solidFill>
          </w14:textFill>
        </w:rPr>
        <w:t>Salariat care își desfășoară activitatea în domeniul construcțiilor</w:t>
      </w:r>
      <w:r>
        <w:rPr>
          <w:rFonts w:ascii="Trebuchet MS" w:hAnsi="Trebuchet MS" w:cs="Trebuchet MS"/>
          <w:color w:val="000000" w:themeColor="text1"/>
          <w:sz w:val="24"/>
          <w:szCs w:val="24"/>
          <w:lang w:val="ro-RO"/>
          <w14:textFill>
            <w14:solidFill>
              <w14:schemeClr w14:val="tx1"/>
            </w14:solidFill>
          </w14:textFill>
        </w:rPr>
        <w:t>”;</w:t>
      </w:r>
    </w:p>
    <w:p>
      <w:pPr>
        <w:suppressAutoHyphens/>
        <w:autoSpaceDE w:val="0"/>
        <w:autoSpaceDN w:val="0"/>
        <w:adjustRightInd w:val="0"/>
        <w:spacing w:line="259" w:lineRule="atLeast"/>
        <w:jc w:val="both"/>
        <w:rPr>
          <w:rFonts w:ascii="Trebuchet MS" w:hAnsi="Trebuchet MS" w:cs="Trebuchet MS"/>
          <w:iCs/>
          <w:color w:val="000000" w:themeColor="text1"/>
          <w:sz w:val="24"/>
          <w:szCs w:val="24"/>
          <w:lang w:val="ro-RO"/>
          <w14:textFill>
            <w14:solidFill>
              <w14:schemeClr w14:val="tx1"/>
            </w14:solidFill>
          </w14:textFill>
        </w:rPr>
      </w:pPr>
      <w:r>
        <w:rPr>
          <w:rFonts w:ascii="Trebuchet MS" w:hAnsi="Trebuchet MS" w:cs="Trebuchet MS"/>
          <w:color w:val="000000" w:themeColor="text1"/>
          <w:sz w:val="24"/>
          <w:szCs w:val="24"/>
          <w:lang w:val="ro-RO"/>
          <w14:textFill>
            <w14:solidFill>
              <w14:schemeClr w14:val="tx1"/>
            </w14:solidFill>
          </w14:textFill>
        </w:rPr>
        <w:t xml:space="preserve">- </w:t>
      </w:r>
      <w:r>
        <w:rPr>
          <w:rFonts w:ascii="Trebuchet MS" w:hAnsi="Trebuchet MS" w:cs="Trebuchet MS"/>
          <w:sz w:val="24"/>
          <w:szCs w:val="24"/>
          <w:lang w:val="ro-RO"/>
        </w:rPr>
        <w:t xml:space="preserve">actualizarea trimiterilor care vizează măsura </w:t>
      </w:r>
      <w:r>
        <w:rPr>
          <w:rFonts w:ascii="Trebuchet MS" w:hAnsi="Trebuchet MS" w:cs="Trebuchet MS"/>
          <w:color w:val="000000"/>
          <w:sz w:val="24"/>
        </w:rPr>
        <w:t>„</w:t>
      </w:r>
      <w:r>
        <w:rPr>
          <w:rFonts w:ascii="Trebuchet MS" w:hAnsi="Trebuchet MS" w:cs="Trebuchet MS"/>
          <w:color w:val="000000"/>
          <w:sz w:val="24"/>
          <w:lang w:val="ro-RO"/>
        </w:rPr>
        <w:t>3</w:t>
      </w:r>
      <w:r>
        <w:rPr>
          <w:rFonts w:ascii="Trebuchet MS" w:hAnsi="Trebuchet MS" w:cs="Trebuchet MS"/>
          <w:color w:val="000000"/>
          <w:sz w:val="24"/>
        </w:rPr>
        <w:t xml:space="preserve">00 de lei din salariul minim, sumă </w:t>
      </w:r>
      <w:r>
        <w:rPr>
          <w:rFonts w:ascii="Trebuchet MS" w:hAnsi="Trebuchet MS" w:cs="Trebuchet MS"/>
          <w:iCs/>
          <w:color w:val="000000" w:themeColor="text1"/>
          <w:sz w:val="24"/>
          <w:szCs w:val="24"/>
          <w:lang w:val="ro-RO"/>
          <w14:textFill>
            <w14:solidFill>
              <w14:schemeClr w14:val="tx1"/>
            </w14:solidFill>
          </w14:textFill>
        </w:rPr>
        <w:t>netaxabilă” de la tipurile de asigurați cu valorile 1.11.2 și 1.11.3;</w:t>
      </w:r>
    </w:p>
    <w:p>
      <w:pPr>
        <w:suppressAutoHyphens/>
        <w:autoSpaceDE w:val="0"/>
        <w:autoSpaceDN w:val="0"/>
        <w:adjustRightInd w:val="0"/>
        <w:spacing w:line="259" w:lineRule="atLeast"/>
        <w:jc w:val="both"/>
        <w:rPr>
          <w:rFonts w:ascii="Trebuchet MS" w:hAnsi="Trebuchet MS" w:cs="Trebuchet MS"/>
          <w:iCs/>
          <w:color w:val="000000" w:themeColor="text1"/>
          <w:sz w:val="24"/>
          <w:szCs w:val="24"/>
          <w:lang w:val="ro-RO"/>
          <w14:textFill>
            <w14:solidFill>
              <w14:schemeClr w14:val="tx1"/>
            </w14:solidFill>
          </w14:textFill>
        </w:rPr>
      </w:pPr>
      <w:r>
        <w:rPr>
          <w:rFonts w:ascii="Trebuchet MS" w:hAnsi="Trebuchet MS" w:cs="Trebuchet MS"/>
          <w:sz w:val="24"/>
          <w:szCs w:val="24"/>
          <w:lang w:val="ro-RO" w:eastAsia="zh-CN"/>
        </w:rPr>
        <w:t>6</w:t>
      </w:r>
      <w:r>
        <w:rPr>
          <w:rFonts w:ascii="Trebuchet MS" w:hAnsi="Trebuchet MS" w:cs="Trebuchet MS"/>
          <w:iCs/>
          <w:color w:val="000000" w:themeColor="text1"/>
          <w:sz w:val="24"/>
          <w:szCs w:val="24"/>
          <w:lang w:val="ro-RO" w:eastAsia="zh-CN"/>
          <w14:textFill>
            <w14:solidFill>
              <w14:schemeClr w14:val="tx1"/>
            </w14:solidFill>
          </w14:textFill>
        </w:rPr>
        <w:t>. M</w:t>
      </w:r>
      <w:r>
        <w:rPr>
          <w:rFonts w:ascii="Trebuchet MS" w:hAnsi="Trebuchet MS" w:cs="Trebuchet MS"/>
          <w:iCs/>
          <w:color w:val="000000" w:themeColor="text1"/>
          <w:sz w:val="24"/>
          <w:szCs w:val="24"/>
          <w:lang w:val="ro-RO"/>
          <w14:textFill>
            <w14:solidFill>
              <w14:schemeClr w14:val="tx1"/>
            </w14:solidFill>
          </w14:textFill>
        </w:rPr>
        <w:t>odificarea corespunzătoare a instrucțiunilor de completare a formularului 112.</w:t>
      </w:r>
    </w:p>
    <w:p>
      <w:pPr>
        <w:suppressAutoHyphens/>
        <w:autoSpaceDE w:val="0"/>
        <w:autoSpaceDN w:val="0"/>
        <w:adjustRightInd w:val="0"/>
        <w:spacing w:line="259" w:lineRule="atLeast"/>
        <w:jc w:val="both"/>
        <w:rPr>
          <w:rFonts w:ascii="Trebuchet MS" w:hAnsi="Trebuchet MS" w:cs="Trebuchet MS"/>
          <w:bCs/>
          <w:color w:val="000000"/>
          <w:sz w:val="24"/>
          <w:szCs w:val="24"/>
          <w:lang w:val="ro-RO" w:eastAsia="zh-CN"/>
        </w:rPr>
      </w:pPr>
      <w:r>
        <w:rPr>
          <w:rFonts w:ascii="Trebuchet MS" w:hAnsi="Trebuchet MS" w:cs="Trebuchet MS"/>
          <w:bCs/>
          <w:sz w:val="24"/>
          <w:szCs w:val="24"/>
          <w:lang w:val="ro-RO"/>
        </w:rPr>
        <w:t>Prevederile prezentului ordin se aplică începând cu declararea veniturilor aferente lunii publicării în Monitorul Oficial al României, Partea I.</w:t>
      </w:r>
      <w:r>
        <w:rPr>
          <w:rFonts w:ascii="Trebuchet MS" w:hAnsi="Trebuchet MS" w:cs="Trebuchet MS"/>
          <w:bCs/>
          <w:color w:val="000000"/>
          <w:sz w:val="24"/>
          <w:szCs w:val="24"/>
          <w:lang w:val="ro-RO" w:eastAsia="zh-CN"/>
        </w:rPr>
        <w:t xml:space="preserve"> </w:t>
      </w:r>
    </w:p>
    <w:p>
      <w:pPr>
        <w:suppressAutoHyphens/>
        <w:jc w:val="both"/>
        <w:rPr>
          <w:rFonts w:ascii="Trebuchet MS" w:hAnsi="Trebuchet MS" w:cs="Trebuchet MS"/>
          <w:sz w:val="24"/>
          <w:szCs w:val="24"/>
          <w:lang w:val="ro-RO" w:eastAsia="zh-CN"/>
        </w:rPr>
      </w:pPr>
    </w:p>
    <w:sectPr>
      <w:headerReference r:id="rId5" w:type="default"/>
      <w:footerReference r:id="rId6" w:type="default"/>
      <w:pgSz w:w="11906" w:h="16838"/>
      <w:pgMar w:top="851" w:right="567" w:bottom="1827" w:left="2268" w:header="0" w:footer="720" w:gutter="0"/>
      <w:cols w:space="720" w:num="1"/>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Liberation Sans">
    <w:panose1 w:val="020B0604020202020204"/>
    <w:charset w:val="00"/>
    <w:family w:val="roman"/>
    <w:pitch w:val="default"/>
    <w:sig w:usb0="E0000AFF" w:usb1="500078FF" w:usb2="00000021" w:usb3="00000000" w:csb0="600001BF" w:csb1="DFF70000"/>
  </w:font>
  <w:font w:name="Microsoft YaHei">
    <w:panose1 w:val="020B0503020204020204"/>
    <w:charset w:val="86"/>
    <w:family w:val="swiss"/>
    <w:pitch w:val="default"/>
    <w:sig w:usb0="80000287" w:usb1="2ACF3C50" w:usb2="00000016" w:usb3="00000000" w:csb0="0004001F" w:csb1="00000000"/>
  </w:font>
  <w:font w:name="Trajan Pro">
    <w:panose1 w:val="02020502050506020301"/>
    <w:charset w:val="00"/>
    <w:family w:val="roman"/>
    <w:pitch w:val="default"/>
    <w:sig w:usb0="800000AF" w:usb1="5000204B" w:usb2="00000000" w:usb3="00000000" w:csb0="0000009B" w:csb1="00000000"/>
  </w:font>
  <w:font w:name="Trebuchet MS">
    <w:panose1 w:val="020B0603020202020204"/>
    <w:charset w:val="00"/>
    <w:family w:val="swiss"/>
    <w:pitch w:val="default"/>
    <w:sig w:usb0="00000687" w:usb1="00000000" w:usb2="00000000" w:usb3="00000000" w:csb0="2000009F" w:csb1="00000000"/>
  </w:font>
  <w:font w:name="Times New Roman CE">
    <w:altName w:val="Times New Roman"/>
    <w:panose1 w:val="00000000000000000000"/>
    <w:charset w:val="00"/>
    <w:family w:val="roman"/>
    <w:pitch w:val="default"/>
    <w:sig w:usb0="00000000" w:usb1="00000000" w:usb2="00000009" w:usb3="00000000" w:csb0="000001FF" w:csb1="00000000"/>
  </w:font>
  <w:font w:name="Franklin Gothic Demi">
    <w:panose1 w:val="020B0703020102020204"/>
    <w:charset w:val="00"/>
    <w:family w:val="swiss"/>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42104826"/>
    </w:sdtPr>
    <w:sdtContent>
      <w:p>
        <w:pPr>
          <w:pStyle w:val="9"/>
        </w:pPr>
      </w:p>
      <w:p>
        <w:pPr>
          <w:pStyle w:val="9"/>
          <w:rPr>
            <w:rFonts w:ascii="Trebuchet MS" w:hAnsi="Trebuchet MS"/>
          </w:rPr>
        </w:pPr>
        <w:r>
          <w:rPr>
            <w:rFonts w:ascii="Trebuchet MS" w:hAnsi="Trebuchet MS" w:eastAsia="Franklin Gothic Demi" w:cs="Arial"/>
            <w:b/>
            <w:bCs/>
            <w:color w:val="000000"/>
            <w:sz w:val="18"/>
            <w:szCs w:val="18"/>
            <w:lang w:val="ro-RO"/>
          </w:rPr>
          <w:t>Document care conține date cu caracter personal protejate de prevederile Regulamentului (UE) 2016/679</w:t>
        </w:r>
      </w:p>
      <w:p>
        <w:pPr>
          <w:pStyle w:val="9"/>
          <w:jc w:val="right"/>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rFonts w:hint="default"/>
        <w:lang w:val="en-US"/>
      </w:rPr>
    </w:pPr>
  </w:p>
  <w:p>
    <w:pPr>
      <w:pStyle w:val="10"/>
      <w:jc w:val="center"/>
      <w:rPr>
        <w:rFonts w:hint="default"/>
        <w:lang w:val="en-US"/>
      </w:rPr>
    </w:pPr>
    <w:r>
      <w:rPr>
        <w:rFonts w:hint="default"/>
        <w:sz w:val="28"/>
        <w:szCs w:val="28"/>
        <w:lang w:val="en-US"/>
      </w:rPr>
      <w:t>PROIECT</w:t>
    </w:r>
  </w:p>
  <w:p>
    <w:pPr>
      <w:pStyle w:val="10"/>
      <w:jc w:val="center"/>
      <w:rPr>
        <w:rFonts w:hint="default"/>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72732E"/>
    <w:multiLevelType w:val="singleLevel"/>
    <w:tmpl w:val="C972732E"/>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20"/>
  <w:noPunctuationKerning w:val="1"/>
  <w:characterSpacingControl w:val="doNotCompress"/>
  <w:footnotePr>
    <w:footnote w:id="0"/>
    <w:footnote w:id="1"/>
  </w:footnotePr>
  <w:endnotePr>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21305E"/>
    <w:rsid w:val="003D6DDC"/>
    <w:rsid w:val="00412ACE"/>
    <w:rsid w:val="004E3C76"/>
    <w:rsid w:val="00515235"/>
    <w:rsid w:val="005F0C36"/>
    <w:rsid w:val="006D1A1D"/>
    <w:rsid w:val="00851083"/>
    <w:rsid w:val="00A948AC"/>
    <w:rsid w:val="00C42940"/>
    <w:rsid w:val="00E876C0"/>
    <w:rsid w:val="013910F0"/>
    <w:rsid w:val="013C40AE"/>
    <w:rsid w:val="016E21CC"/>
    <w:rsid w:val="022C2A72"/>
    <w:rsid w:val="025A54EB"/>
    <w:rsid w:val="02E96AEC"/>
    <w:rsid w:val="02EB2732"/>
    <w:rsid w:val="033862D9"/>
    <w:rsid w:val="035D1872"/>
    <w:rsid w:val="05E31574"/>
    <w:rsid w:val="06425F69"/>
    <w:rsid w:val="06A75B9E"/>
    <w:rsid w:val="06FA19A3"/>
    <w:rsid w:val="070E5D92"/>
    <w:rsid w:val="07B36D38"/>
    <w:rsid w:val="07BF269D"/>
    <w:rsid w:val="085E1C48"/>
    <w:rsid w:val="087B575A"/>
    <w:rsid w:val="08B1123E"/>
    <w:rsid w:val="08CE38EE"/>
    <w:rsid w:val="090C2C8F"/>
    <w:rsid w:val="09147821"/>
    <w:rsid w:val="09151EA3"/>
    <w:rsid w:val="09237B8A"/>
    <w:rsid w:val="095548A1"/>
    <w:rsid w:val="095E3F06"/>
    <w:rsid w:val="09C74ACA"/>
    <w:rsid w:val="09CB5B85"/>
    <w:rsid w:val="0A9F35C4"/>
    <w:rsid w:val="0AB2217B"/>
    <w:rsid w:val="0AFC09B2"/>
    <w:rsid w:val="0B2D1299"/>
    <w:rsid w:val="0B300147"/>
    <w:rsid w:val="0BCB2353"/>
    <w:rsid w:val="0C275099"/>
    <w:rsid w:val="0C625CEC"/>
    <w:rsid w:val="0CA460EC"/>
    <w:rsid w:val="0CFF3881"/>
    <w:rsid w:val="0D4F3563"/>
    <w:rsid w:val="0D516122"/>
    <w:rsid w:val="0DA33E41"/>
    <w:rsid w:val="0DFE3BA9"/>
    <w:rsid w:val="0E6A49C5"/>
    <w:rsid w:val="0F0D1266"/>
    <w:rsid w:val="0F2D79A5"/>
    <w:rsid w:val="0F756529"/>
    <w:rsid w:val="0F9F3B96"/>
    <w:rsid w:val="0FD8028B"/>
    <w:rsid w:val="10047D10"/>
    <w:rsid w:val="100F66DF"/>
    <w:rsid w:val="102B2AD8"/>
    <w:rsid w:val="10952165"/>
    <w:rsid w:val="10975C01"/>
    <w:rsid w:val="10AC3082"/>
    <w:rsid w:val="110E42D8"/>
    <w:rsid w:val="11B55D5E"/>
    <w:rsid w:val="11D66F82"/>
    <w:rsid w:val="11FB2B67"/>
    <w:rsid w:val="12671038"/>
    <w:rsid w:val="12D42387"/>
    <w:rsid w:val="13251BD7"/>
    <w:rsid w:val="135B1BB3"/>
    <w:rsid w:val="13810BF5"/>
    <w:rsid w:val="13E856E9"/>
    <w:rsid w:val="14205219"/>
    <w:rsid w:val="148A51ED"/>
    <w:rsid w:val="148F01D1"/>
    <w:rsid w:val="14D37EA9"/>
    <w:rsid w:val="14EF6D41"/>
    <w:rsid w:val="154143E5"/>
    <w:rsid w:val="15B0423E"/>
    <w:rsid w:val="163E1703"/>
    <w:rsid w:val="16913943"/>
    <w:rsid w:val="169B1761"/>
    <w:rsid w:val="16E03B35"/>
    <w:rsid w:val="16F01FB0"/>
    <w:rsid w:val="174651D7"/>
    <w:rsid w:val="175A69F7"/>
    <w:rsid w:val="17E31E88"/>
    <w:rsid w:val="18674954"/>
    <w:rsid w:val="18860A89"/>
    <w:rsid w:val="18F014FB"/>
    <w:rsid w:val="1A2F0499"/>
    <w:rsid w:val="1A78167B"/>
    <w:rsid w:val="1AB329D2"/>
    <w:rsid w:val="1B043B4C"/>
    <w:rsid w:val="1B1D20C5"/>
    <w:rsid w:val="1B7C21BD"/>
    <w:rsid w:val="1B7C4A1C"/>
    <w:rsid w:val="1B8250DB"/>
    <w:rsid w:val="1BAE0484"/>
    <w:rsid w:val="1BE46E58"/>
    <w:rsid w:val="1C274913"/>
    <w:rsid w:val="1C381D43"/>
    <w:rsid w:val="1C411423"/>
    <w:rsid w:val="1CA13ECC"/>
    <w:rsid w:val="1CA359DA"/>
    <w:rsid w:val="1CBB3EA4"/>
    <w:rsid w:val="1D677DAD"/>
    <w:rsid w:val="1E081489"/>
    <w:rsid w:val="1E4832D2"/>
    <w:rsid w:val="1E9C7D9E"/>
    <w:rsid w:val="1EE95ECD"/>
    <w:rsid w:val="1F1C70C5"/>
    <w:rsid w:val="1F2D4914"/>
    <w:rsid w:val="1F3B0CB8"/>
    <w:rsid w:val="1F571384"/>
    <w:rsid w:val="20425341"/>
    <w:rsid w:val="204D1763"/>
    <w:rsid w:val="20AB68DA"/>
    <w:rsid w:val="20EB2822"/>
    <w:rsid w:val="212A082A"/>
    <w:rsid w:val="21A356A5"/>
    <w:rsid w:val="2286455F"/>
    <w:rsid w:val="229C5B62"/>
    <w:rsid w:val="22A45104"/>
    <w:rsid w:val="22F26D56"/>
    <w:rsid w:val="23871FF1"/>
    <w:rsid w:val="23D105C6"/>
    <w:rsid w:val="23E7483C"/>
    <w:rsid w:val="24156404"/>
    <w:rsid w:val="24503AAB"/>
    <w:rsid w:val="24F82C84"/>
    <w:rsid w:val="24FC671F"/>
    <w:rsid w:val="25590975"/>
    <w:rsid w:val="26967C45"/>
    <w:rsid w:val="26E12ED5"/>
    <w:rsid w:val="2708709E"/>
    <w:rsid w:val="27736C6D"/>
    <w:rsid w:val="278E6961"/>
    <w:rsid w:val="27A31276"/>
    <w:rsid w:val="281178CB"/>
    <w:rsid w:val="286903F7"/>
    <w:rsid w:val="289300ED"/>
    <w:rsid w:val="28CC08E3"/>
    <w:rsid w:val="2913743C"/>
    <w:rsid w:val="29766474"/>
    <w:rsid w:val="29F2434B"/>
    <w:rsid w:val="2A39776D"/>
    <w:rsid w:val="2B691778"/>
    <w:rsid w:val="2BF9308A"/>
    <w:rsid w:val="2CD74169"/>
    <w:rsid w:val="2CFF1372"/>
    <w:rsid w:val="2D387E0B"/>
    <w:rsid w:val="2D8F1A93"/>
    <w:rsid w:val="2D987784"/>
    <w:rsid w:val="2DC96775"/>
    <w:rsid w:val="2DF62EF6"/>
    <w:rsid w:val="2E010481"/>
    <w:rsid w:val="2E5F5B76"/>
    <w:rsid w:val="2EA5126D"/>
    <w:rsid w:val="2EBC2281"/>
    <w:rsid w:val="2F222E98"/>
    <w:rsid w:val="2F9574FF"/>
    <w:rsid w:val="2FBA6B1C"/>
    <w:rsid w:val="2FC21B4A"/>
    <w:rsid w:val="301E6231"/>
    <w:rsid w:val="305B7C1E"/>
    <w:rsid w:val="306C73F5"/>
    <w:rsid w:val="30884748"/>
    <w:rsid w:val="30904661"/>
    <w:rsid w:val="30DC4AC8"/>
    <w:rsid w:val="314F126D"/>
    <w:rsid w:val="31A7207F"/>
    <w:rsid w:val="3208483C"/>
    <w:rsid w:val="320D5BFF"/>
    <w:rsid w:val="32A1726B"/>
    <w:rsid w:val="32DE2B29"/>
    <w:rsid w:val="339D2100"/>
    <w:rsid w:val="34A162AC"/>
    <w:rsid w:val="34B93F1C"/>
    <w:rsid w:val="34E97425"/>
    <w:rsid w:val="35160B86"/>
    <w:rsid w:val="353E2BA1"/>
    <w:rsid w:val="35861757"/>
    <w:rsid w:val="359B36FD"/>
    <w:rsid w:val="35E57822"/>
    <w:rsid w:val="36464241"/>
    <w:rsid w:val="366078D4"/>
    <w:rsid w:val="37294F7E"/>
    <w:rsid w:val="372A1427"/>
    <w:rsid w:val="37531FBA"/>
    <w:rsid w:val="38412880"/>
    <w:rsid w:val="38632D5D"/>
    <w:rsid w:val="38C04BEF"/>
    <w:rsid w:val="39267808"/>
    <w:rsid w:val="393B5915"/>
    <w:rsid w:val="398F70F1"/>
    <w:rsid w:val="39C57B63"/>
    <w:rsid w:val="39CC384D"/>
    <w:rsid w:val="39EF05B4"/>
    <w:rsid w:val="39F94604"/>
    <w:rsid w:val="3A0827EE"/>
    <w:rsid w:val="3AA108E5"/>
    <w:rsid w:val="3AA752A5"/>
    <w:rsid w:val="3AAB39B8"/>
    <w:rsid w:val="3B1117C0"/>
    <w:rsid w:val="3B163863"/>
    <w:rsid w:val="3B2517C5"/>
    <w:rsid w:val="3B25338A"/>
    <w:rsid w:val="3B3C7ABF"/>
    <w:rsid w:val="3B8E0D03"/>
    <w:rsid w:val="3BA3557A"/>
    <w:rsid w:val="3BD51593"/>
    <w:rsid w:val="3C00357E"/>
    <w:rsid w:val="3CAC1347"/>
    <w:rsid w:val="3CCF75C4"/>
    <w:rsid w:val="3D0A0693"/>
    <w:rsid w:val="3D0B0EE6"/>
    <w:rsid w:val="3D7C7B1B"/>
    <w:rsid w:val="3D982B44"/>
    <w:rsid w:val="3E3A7B32"/>
    <w:rsid w:val="3E3B1517"/>
    <w:rsid w:val="3E5E77F7"/>
    <w:rsid w:val="3E7802E5"/>
    <w:rsid w:val="3E8F24BE"/>
    <w:rsid w:val="3ED412DB"/>
    <w:rsid w:val="3F2C3453"/>
    <w:rsid w:val="3F75534B"/>
    <w:rsid w:val="3FA537F7"/>
    <w:rsid w:val="3FA66D5E"/>
    <w:rsid w:val="3FDC4D91"/>
    <w:rsid w:val="3FF17E6E"/>
    <w:rsid w:val="40306B56"/>
    <w:rsid w:val="40EB3120"/>
    <w:rsid w:val="41F628E5"/>
    <w:rsid w:val="420D4E42"/>
    <w:rsid w:val="4251003F"/>
    <w:rsid w:val="429044B1"/>
    <w:rsid w:val="42961015"/>
    <w:rsid w:val="42CD1179"/>
    <w:rsid w:val="43B32046"/>
    <w:rsid w:val="44057A6E"/>
    <w:rsid w:val="4456196A"/>
    <w:rsid w:val="445C25AF"/>
    <w:rsid w:val="44E74DE5"/>
    <w:rsid w:val="450C052D"/>
    <w:rsid w:val="455160EC"/>
    <w:rsid w:val="465C4B33"/>
    <w:rsid w:val="46764966"/>
    <w:rsid w:val="46C145BC"/>
    <w:rsid w:val="472C3D4B"/>
    <w:rsid w:val="47360749"/>
    <w:rsid w:val="473768B2"/>
    <w:rsid w:val="47496121"/>
    <w:rsid w:val="475C5925"/>
    <w:rsid w:val="477576C3"/>
    <w:rsid w:val="47802429"/>
    <w:rsid w:val="47957D04"/>
    <w:rsid w:val="47A21B80"/>
    <w:rsid w:val="48081436"/>
    <w:rsid w:val="48111A4D"/>
    <w:rsid w:val="486F67F8"/>
    <w:rsid w:val="48857DDE"/>
    <w:rsid w:val="489F6DD5"/>
    <w:rsid w:val="48C937AD"/>
    <w:rsid w:val="48DB7AE8"/>
    <w:rsid w:val="4A181044"/>
    <w:rsid w:val="4B057E73"/>
    <w:rsid w:val="4C001E5E"/>
    <w:rsid w:val="4C403C50"/>
    <w:rsid w:val="4C570F0A"/>
    <w:rsid w:val="4C6A074F"/>
    <w:rsid w:val="4C9D6DA7"/>
    <w:rsid w:val="4CA34004"/>
    <w:rsid w:val="4CC81533"/>
    <w:rsid w:val="4D506909"/>
    <w:rsid w:val="4DA216D6"/>
    <w:rsid w:val="4DE775A5"/>
    <w:rsid w:val="4E8B5085"/>
    <w:rsid w:val="4E8C4B4D"/>
    <w:rsid w:val="4EFC3DA1"/>
    <w:rsid w:val="4F1E5521"/>
    <w:rsid w:val="4F45600F"/>
    <w:rsid w:val="4FCF43D9"/>
    <w:rsid w:val="51237684"/>
    <w:rsid w:val="514133D0"/>
    <w:rsid w:val="514D47AB"/>
    <w:rsid w:val="515E70A3"/>
    <w:rsid w:val="517141A4"/>
    <w:rsid w:val="51944C1D"/>
    <w:rsid w:val="524A1159"/>
    <w:rsid w:val="52737BDF"/>
    <w:rsid w:val="532C44D7"/>
    <w:rsid w:val="535C2253"/>
    <w:rsid w:val="53CF342D"/>
    <w:rsid w:val="53CF5C46"/>
    <w:rsid w:val="540936D3"/>
    <w:rsid w:val="548A2305"/>
    <w:rsid w:val="553F1691"/>
    <w:rsid w:val="5573202C"/>
    <w:rsid w:val="55795E5B"/>
    <w:rsid w:val="55ED49F5"/>
    <w:rsid w:val="561843C3"/>
    <w:rsid w:val="566B7546"/>
    <w:rsid w:val="56FB42FD"/>
    <w:rsid w:val="573300DB"/>
    <w:rsid w:val="583C5242"/>
    <w:rsid w:val="58541FEE"/>
    <w:rsid w:val="58A355D1"/>
    <w:rsid w:val="58F55908"/>
    <w:rsid w:val="595945F3"/>
    <w:rsid w:val="59950BD0"/>
    <w:rsid w:val="59A412FC"/>
    <w:rsid w:val="59C671AF"/>
    <w:rsid w:val="5A67649E"/>
    <w:rsid w:val="5AD23837"/>
    <w:rsid w:val="5B005F86"/>
    <w:rsid w:val="5B436D99"/>
    <w:rsid w:val="5CCE3D95"/>
    <w:rsid w:val="5D226D60"/>
    <w:rsid w:val="5DCB4CD5"/>
    <w:rsid w:val="5E3E34C2"/>
    <w:rsid w:val="5F9559F2"/>
    <w:rsid w:val="60260B74"/>
    <w:rsid w:val="602F7A34"/>
    <w:rsid w:val="60CB1551"/>
    <w:rsid w:val="60CF1AD9"/>
    <w:rsid w:val="610957E1"/>
    <w:rsid w:val="615A7338"/>
    <w:rsid w:val="616E203A"/>
    <w:rsid w:val="6216255D"/>
    <w:rsid w:val="626148B3"/>
    <w:rsid w:val="629D4269"/>
    <w:rsid w:val="63B97C98"/>
    <w:rsid w:val="63BB06CD"/>
    <w:rsid w:val="63BF322D"/>
    <w:rsid w:val="63F2493E"/>
    <w:rsid w:val="64422B8B"/>
    <w:rsid w:val="65194400"/>
    <w:rsid w:val="65697B66"/>
    <w:rsid w:val="65F15E58"/>
    <w:rsid w:val="66071059"/>
    <w:rsid w:val="663C49B8"/>
    <w:rsid w:val="66402717"/>
    <w:rsid w:val="66550FF5"/>
    <w:rsid w:val="66580928"/>
    <w:rsid w:val="669C73C7"/>
    <w:rsid w:val="671F2024"/>
    <w:rsid w:val="676E6056"/>
    <w:rsid w:val="67F62032"/>
    <w:rsid w:val="683A44A3"/>
    <w:rsid w:val="68B46527"/>
    <w:rsid w:val="68EE6507"/>
    <w:rsid w:val="6910758E"/>
    <w:rsid w:val="6AF21303"/>
    <w:rsid w:val="6B4066A2"/>
    <w:rsid w:val="6B7B4910"/>
    <w:rsid w:val="6BA75FF3"/>
    <w:rsid w:val="6BF11004"/>
    <w:rsid w:val="6C335EAD"/>
    <w:rsid w:val="6CC82108"/>
    <w:rsid w:val="6D3F78D9"/>
    <w:rsid w:val="6E9B55AF"/>
    <w:rsid w:val="6F016B9A"/>
    <w:rsid w:val="6F445954"/>
    <w:rsid w:val="6F746A20"/>
    <w:rsid w:val="6FB06B15"/>
    <w:rsid w:val="6FC426F9"/>
    <w:rsid w:val="6FE439C8"/>
    <w:rsid w:val="71CD7696"/>
    <w:rsid w:val="721C3812"/>
    <w:rsid w:val="7268530F"/>
    <w:rsid w:val="728F3266"/>
    <w:rsid w:val="72AA5794"/>
    <w:rsid w:val="72E51272"/>
    <w:rsid w:val="738642DE"/>
    <w:rsid w:val="73AA06EE"/>
    <w:rsid w:val="73B03ED3"/>
    <w:rsid w:val="73B75598"/>
    <w:rsid w:val="74947640"/>
    <w:rsid w:val="749C25FD"/>
    <w:rsid w:val="74E34CBF"/>
    <w:rsid w:val="75E01736"/>
    <w:rsid w:val="76171417"/>
    <w:rsid w:val="761D4398"/>
    <w:rsid w:val="76A82AC3"/>
    <w:rsid w:val="76CF6B6C"/>
    <w:rsid w:val="77056493"/>
    <w:rsid w:val="77B85C62"/>
    <w:rsid w:val="77D2242C"/>
    <w:rsid w:val="782B508D"/>
    <w:rsid w:val="785841CA"/>
    <w:rsid w:val="788D6B20"/>
    <w:rsid w:val="788F4F97"/>
    <w:rsid w:val="79CA4CC1"/>
    <w:rsid w:val="7A5C3233"/>
    <w:rsid w:val="7A6849C7"/>
    <w:rsid w:val="7A991A85"/>
    <w:rsid w:val="7B343E00"/>
    <w:rsid w:val="7BE47397"/>
    <w:rsid w:val="7BF77C8E"/>
    <w:rsid w:val="7CB724C8"/>
    <w:rsid w:val="7CCB6F40"/>
    <w:rsid w:val="7CD13981"/>
    <w:rsid w:val="7D1D764D"/>
    <w:rsid w:val="7D33477E"/>
    <w:rsid w:val="7D764C31"/>
    <w:rsid w:val="7DC84A96"/>
    <w:rsid w:val="7DC90BB7"/>
    <w:rsid w:val="7E162B78"/>
    <w:rsid w:val="7E263654"/>
    <w:rsid w:val="7E595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23"/>
    <w:semiHidden/>
    <w:unhideWhenUsed/>
    <w:qFormat/>
    <w:uiPriority w:val="99"/>
    <w:pPr>
      <w:spacing w:after="0" w:line="240" w:lineRule="auto"/>
    </w:pPr>
    <w:rPr>
      <w:rFonts w:ascii="Tahoma" w:hAnsi="Tahoma" w:cs="Tahoma"/>
      <w:sz w:val="16"/>
      <w:szCs w:val="16"/>
    </w:rPr>
  </w:style>
  <w:style w:type="paragraph" w:styleId="5">
    <w:name w:val="Body Text"/>
    <w:basedOn w:val="1"/>
    <w:qFormat/>
    <w:uiPriority w:val="0"/>
    <w:pPr>
      <w:spacing w:after="140" w:line="276" w:lineRule="auto"/>
    </w:pPr>
  </w:style>
  <w:style w:type="paragraph" w:styleId="6">
    <w:name w:val="caption"/>
    <w:basedOn w:val="1"/>
    <w:next w:val="1"/>
    <w:qFormat/>
    <w:uiPriority w:val="0"/>
    <w:pPr>
      <w:suppressLineNumbers/>
      <w:spacing w:before="120" w:after="120"/>
    </w:pPr>
    <w:rPr>
      <w:rFonts w:cs="Arial"/>
      <w:i/>
      <w:iCs/>
      <w:sz w:val="24"/>
      <w:szCs w:val="24"/>
    </w:rPr>
  </w:style>
  <w:style w:type="character" w:styleId="7">
    <w:name w:val="annotation reference"/>
    <w:qFormat/>
    <w:uiPriority w:val="0"/>
    <w:rPr>
      <w:rFonts w:ascii="Times New Roman" w:hAnsi="Times New Roman" w:eastAsia="Times New Roman" w:cs="Times New Roman"/>
      <w:sz w:val="16"/>
      <w:szCs w:val="16"/>
    </w:rPr>
  </w:style>
  <w:style w:type="paragraph" w:styleId="8">
    <w:name w:val="annotation text"/>
    <w:basedOn w:val="1"/>
    <w:qFormat/>
    <w:uiPriority w:val="0"/>
    <w:rPr>
      <w:rFonts w:ascii="Times New Roman" w:hAnsi="Times New Roman"/>
    </w:rPr>
  </w:style>
  <w:style w:type="paragraph" w:styleId="9">
    <w:name w:val="footer"/>
    <w:basedOn w:val="1"/>
    <w:link w:val="15"/>
    <w:unhideWhenUsed/>
    <w:qFormat/>
    <w:uiPriority w:val="99"/>
    <w:pPr>
      <w:tabs>
        <w:tab w:val="center" w:pos="4680"/>
        <w:tab w:val="right" w:pos="9360"/>
      </w:tabs>
      <w:spacing w:after="0" w:line="240" w:lineRule="auto"/>
    </w:pPr>
  </w:style>
  <w:style w:type="paragraph" w:styleId="10">
    <w:name w:val="header"/>
    <w:basedOn w:val="1"/>
    <w:link w:val="14"/>
    <w:unhideWhenUsed/>
    <w:qFormat/>
    <w:uiPriority w:val="99"/>
    <w:pPr>
      <w:tabs>
        <w:tab w:val="center" w:pos="4680"/>
        <w:tab w:val="right" w:pos="9360"/>
      </w:tabs>
      <w:spacing w:after="0" w:line="240" w:lineRule="auto"/>
    </w:pPr>
  </w:style>
  <w:style w:type="character" w:styleId="11">
    <w:name w:val="Hyperlink"/>
    <w:basedOn w:val="2"/>
    <w:semiHidden/>
    <w:unhideWhenUsed/>
    <w:qFormat/>
    <w:uiPriority w:val="99"/>
    <w:rPr>
      <w:color w:val="0000FF"/>
      <w:u w:val="single"/>
    </w:rPr>
  </w:style>
  <w:style w:type="paragraph" w:styleId="12">
    <w:name w:val="List"/>
    <w:basedOn w:val="5"/>
    <w:qFormat/>
    <w:uiPriority w:val="0"/>
    <w:rPr>
      <w:rFonts w:cs="Arial"/>
    </w:rPr>
  </w:style>
  <w:style w:type="paragraph" w:styleId="13">
    <w:name w:val="Normal (Web)"/>
    <w:basedOn w:val="1"/>
    <w:qFormat/>
    <w:uiPriority w:val="0"/>
    <w:pPr>
      <w:spacing w:before="280" w:after="280"/>
    </w:pPr>
    <w:rPr>
      <w:color w:val="000000"/>
    </w:rPr>
  </w:style>
  <w:style w:type="character" w:customStyle="1" w:styleId="14">
    <w:name w:val="Header Char"/>
    <w:basedOn w:val="2"/>
    <w:link w:val="10"/>
    <w:qFormat/>
    <w:uiPriority w:val="99"/>
  </w:style>
  <w:style w:type="character" w:customStyle="1" w:styleId="15">
    <w:name w:val="Footer Char"/>
    <w:basedOn w:val="2"/>
    <w:link w:val="9"/>
    <w:qFormat/>
    <w:uiPriority w:val="99"/>
  </w:style>
  <w:style w:type="character" w:customStyle="1" w:styleId="16">
    <w:name w:val="Internet Link"/>
    <w:basedOn w:val="2"/>
    <w:unhideWhenUsed/>
    <w:qFormat/>
    <w:uiPriority w:val="99"/>
    <w:rPr>
      <w:color w:val="0563C1" w:themeColor="hyperlink"/>
      <w:u w:val="single"/>
      <w14:textFill>
        <w14:solidFill>
          <w14:schemeClr w14:val="hlink"/>
        </w14:solidFill>
      </w14:textFill>
    </w:rPr>
  </w:style>
  <w:style w:type="paragraph" w:customStyle="1" w:styleId="17">
    <w:name w:val="Heading"/>
    <w:basedOn w:val="1"/>
    <w:next w:val="5"/>
    <w:qFormat/>
    <w:uiPriority w:val="0"/>
    <w:pPr>
      <w:keepNext/>
      <w:spacing w:before="240" w:after="120"/>
    </w:pPr>
    <w:rPr>
      <w:rFonts w:ascii="Liberation Sans" w:hAnsi="Liberation Sans" w:eastAsia="Microsoft YaHei" w:cs="Arial"/>
      <w:sz w:val="28"/>
      <w:szCs w:val="28"/>
    </w:rPr>
  </w:style>
  <w:style w:type="paragraph" w:customStyle="1" w:styleId="18">
    <w:name w:val="Index"/>
    <w:basedOn w:val="1"/>
    <w:qFormat/>
    <w:uiPriority w:val="0"/>
    <w:pPr>
      <w:suppressLineNumbers/>
    </w:pPr>
    <w:rPr>
      <w:rFonts w:cs="Arial"/>
    </w:rPr>
  </w:style>
  <w:style w:type="paragraph" w:customStyle="1" w:styleId="19">
    <w:name w:val="Caracter Caracter"/>
    <w:basedOn w:val="1"/>
    <w:qFormat/>
    <w:uiPriority w:val="0"/>
    <w:pPr>
      <w:spacing w:after="0" w:line="240" w:lineRule="auto"/>
    </w:pPr>
    <w:rPr>
      <w:rFonts w:ascii="Times New Roman" w:hAnsi="Times New Roman" w:eastAsia="Times New Roman" w:cs="Times New Roman"/>
      <w:sz w:val="24"/>
      <w:szCs w:val="24"/>
      <w:lang w:val="pl-PL" w:eastAsia="pl-PL"/>
    </w:rPr>
  </w:style>
  <w:style w:type="paragraph" w:customStyle="1" w:styleId="20">
    <w:name w:val="Frame Contents"/>
    <w:basedOn w:val="1"/>
    <w:qFormat/>
    <w:uiPriority w:val="0"/>
  </w:style>
  <w:style w:type="paragraph" w:customStyle="1" w:styleId="21">
    <w:name w:val="Default Text:1"/>
    <w:basedOn w:val="1"/>
    <w:qFormat/>
    <w:uiPriority w:val="0"/>
    <w:rPr>
      <w:szCs w:val="20"/>
      <w:lang w:eastAsia="ar-SA"/>
    </w:rPr>
  </w:style>
  <w:style w:type="paragraph" w:customStyle="1" w:styleId="22">
    <w:name w:val="Default Text"/>
    <w:basedOn w:val="1"/>
    <w:qFormat/>
    <w:uiPriority w:val="0"/>
    <w:pPr>
      <w:autoSpaceDE w:val="0"/>
    </w:pPr>
  </w:style>
  <w:style w:type="character" w:customStyle="1" w:styleId="23">
    <w:name w:val="Balloon Text Char"/>
    <w:basedOn w:val="2"/>
    <w:link w:val="4"/>
    <w:semiHidden/>
    <w:qFormat/>
    <w:uiPriority w:val="99"/>
    <w:rPr>
      <w:rFonts w:ascii="Tahoma" w:hAnsi="Tahoma" w:cs="Tahoma" w:eastAsiaTheme="minorHAnsi"/>
      <w:sz w:val="16"/>
      <w:szCs w:val="16"/>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CC760B-2BA1-4D9B-B87D-1E9969C6628F}">
  <ds:schemaRefs/>
</ds:datastoreItem>
</file>

<file path=docProps/app.xml><?xml version="1.0" encoding="utf-8"?>
<Properties xmlns="http://schemas.openxmlformats.org/officeDocument/2006/extended-properties" xmlns:vt="http://schemas.openxmlformats.org/officeDocument/2006/docPropsVTypes">
  <Template>Normal</Template>
  <Company>Ministerul Finantelor Publice</Company>
  <Pages>4</Pages>
  <Words>1215</Words>
  <Characters>6930</Characters>
  <Lines>57</Lines>
  <Paragraphs>16</Paragraphs>
  <TotalTime>18</TotalTime>
  <ScaleCrop>false</ScaleCrop>
  <LinksUpToDate>false</LinksUpToDate>
  <CharactersWithSpaces>8129</CharactersWithSpaces>
  <Application>WPS Office_11.2.0.10351_F1E327BC-269C-435d-A152-05C5408002CA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2025-01-31T08:37:00Z</dcterms:created>
  <dc:creator>CRISTIAN-NICOLAE MARIN</dc:creator>
  <cp:lastModifiedBy>Marian Turcu-Junoiu</cp:lastModifiedBy>
  <cp:lastPrinted>2024-02-09T09:25:00Z</cp:lastPrinted>
  <dcterms:modified xsi:type="dcterms:W3CDTF">2025-02-06T11:59:57Z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Ministerul Finantelor Publice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1033-11.2.0.10351</vt:lpwstr>
  </property>
  <property fmtid="{D5CDD505-2E9C-101B-9397-08002B2CF9AE}" pid="10" name="ICV">
    <vt:lpwstr>735E1EDC5EDD405480A2190A1C70B35E</vt:lpwstr>
  </property>
</Properties>
</file>