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7155" w:leader="none"/>
        </w:tabs>
        <w:jc w:val="left"/>
        <w:rPr>
          <w:lang w:val="ro-RO"/>
        </w:rPr>
      </w:pPr>
      <w:r>
        <w:rPr>
          <w:rFonts w:cs="Trebuchet MS" w:ascii="Trebuchet MS" w:hAnsi="Trebuchet MS"/>
          <w:b/>
          <w:lang w:val="ro-RO"/>
        </w:rPr>
        <w:t>AGENȚIA NAȚIONALĂ DE                                         AUTORITATEA VAMALĂ ROMÂNĂ</w:t>
      </w:r>
    </w:p>
    <w:p>
      <w:pPr>
        <w:pStyle w:val="Normal"/>
        <w:tabs>
          <w:tab w:val="clear" w:pos="720"/>
          <w:tab w:val="left" w:pos="7155" w:leader="none"/>
        </w:tabs>
        <w:jc w:val="left"/>
        <w:rPr>
          <w:lang w:val="ro-RO"/>
        </w:rPr>
      </w:pPr>
      <w:r>
        <w:rPr>
          <w:rFonts w:cs="Trebuchet MS" w:ascii="Trebuchet MS" w:hAnsi="Trebuchet MS"/>
          <w:b/>
          <w:lang w:val="ro-RO"/>
        </w:rPr>
        <w:t>ADMINISTRARE FISCALĂ</w:t>
      </w:r>
    </w:p>
    <w:p>
      <w:pPr>
        <w:pStyle w:val="Normal"/>
        <w:spacing w:lineRule="auto" w:line="360" w:before="0" w:after="0"/>
        <w:jc w:val="center"/>
        <w:rPr>
          <w:rFonts w:ascii="Trebuchet MS" w:hAnsi="Trebuchet MS"/>
          <w:lang w:val="ro-RO"/>
        </w:rPr>
      </w:pPr>
      <w:r>
        <w:rPr>
          <w:rFonts w:cs="Trebuchet MS" w:ascii="Trebuchet MS" w:hAnsi="Trebuchet MS"/>
          <w:sz w:val="24"/>
          <w:szCs w:val="24"/>
          <w:lang w:val="ro-RO"/>
        </w:rPr>
        <w:t>ORDIN</w:t>
      </w:r>
    </w:p>
    <w:p>
      <w:pPr>
        <w:pStyle w:val="Normal"/>
        <w:tabs>
          <w:tab w:val="left" w:pos="720" w:leader="none"/>
        </w:tabs>
        <w:spacing w:before="120" w:after="0"/>
        <w:contextualSpacing/>
        <w:jc w:val="center"/>
        <w:rPr>
          <w:rFonts w:ascii="Trebuchet MS" w:hAnsi="Trebuchet MS"/>
          <w:lang w:val="ro-RO"/>
        </w:rPr>
      </w:pPr>
      <w:r>
        <w:rPr>
          <w:rFonts w:cs="Times New Roman" w:ascii="Trebuchet MS" w:hAnsi="Trebuchet MS"/>
          <w:sz w:val="24"/>
          <w:szCs w:val="24"/>
          <w:lang w:val="ro-RO"/>
        </w:rPr>
        <w:t>privind stabilirea activității de monitorizare și control a activității desfășurate de destinatarii înregistrați care prezintă risc fiscal ridicat</w:t>
      </w:r>
    </w:p>
    <w:p>
      <w:pPr>
        <w:pStyle w:val="Normal"/>
        <w:tabs>
          <w:tab w:val="left" w:pos="720" w:leader="none"/>
        </w:tabs>
        <w:spacing w:before="120" w:after="0"/>
        <w:contextualSpacing/>
        <w:jc w:val="left"/>
        <w:rPr>
          <w:rFonts w:ascii="Trebuchet MS" w:hAnsi="Trebuchet MS"/>
          <w:sz w:val="24"/>
          <w:szCs w:val="24"/>
          <w:lang w:val="ro-RO"/>
        </w:rPr>
      </w:pPr>
      <w:r>
        <w:rPr>
          <w:rFonts w:ascii="Trebuchet MS" w:hAnsi="Trebuchet MS"/>
          <w:sz w:val="24"/>
          <w:szCs w:val="24"/>
          <w:lang w:val="ro-RO"/>
        </w:rPr>
      </w:r>
    </w:p>
    <w:p>
      <w:pPr>
        <w:pStyle w:val="Normal"/>
        <w:tabs>
          <w:tab w:val="left" w:pos="720" w:leader="none"/>
        </w:tabs>
        <w:spacing w:before="120" w:after="0"/>
        <w:contextualSpacing/>
        <w:jc w:val="left"/>
        <w:rPr>
          <w:rFonts w:ascii="Trebuchet MS" w:hAnsi="Trebuchet MS" w:cs="Trebuchet MS"/>
          <w:bCs/>
          <w:sz w:val="24"/>
          <w:szCs w:val="24"/>
          <w:lang w:val="ro-RO"/>
        </w:rPr>
      </w:pPr>
      <w:r>
        <w:rPr>
          <w:rFonts w:cs="Trebuchet MS" w:ascii="Trebuchet MS" w:hAnsi="Trebuchet MS"/>
          <w:bCs/>
          <w:sz w:val="24"/>
          <w:szCs w:val="24"/>
          <w:lang w:val="ro-RO"/>
        </w:rPr>
      </w:r>
    </w:p>
    <w:p>
      <w:pPr>
        <w:pStyle w:val="TextBody"/>
        <w:spacing w:lineRule="auto" w:line="240" w:before="0" w:after="120"/>
        <w:jc w:val="both"/>
        <w:rPr>
          <w:rFonts w:ascii="Trebuchet MS" w:hAnsi="Trebuchet MS"/>
          <w:sz w:val="24"/>
          <w:szCs w:val="24"/>
          <w:lang w:val="ro-RO"/>
        </w:rPr>
      </w:pPr>
      <w:r>
        <w:rPr>
          <w:rFonts w:eastAsia="NSimSun" w:cs="Trebuchet MS" w:ascii="Trebuchet MS" w:hAnsi="Trebuchet MS"/>
          <w:kern w:val="2"/>
          <w:sz w:val="24"/>
          <w:szCs w:val="24"/>
          <w:lang w:val="ro-RO" w:bidi="hi-IN"/>
        </w:rPr>
        <w:t>Având în vedere avizul conform al Ministerului Finanțelor comunicat cu adresa nr......din data de......,</w:t>
      </w:r>
    </w:p>
    <w:p>
      <w:pPr>
        <w:pStyle w:val="Normal"/>
        <w:tabs>
          <w:tab w:val="left" w:pos="720" w:leader="none"/>
        </w:tabs>
        <w:spacing w:before="0" w:after="144"/>
        <w:jc w:val="both"/>
        <w:rPr>
          <w:rFonts w:ascii="Trebuchet MS" w:hAnsi="Trebuchet MS"/>
          <w:sz w:val="24"/>
          <w:szCs w:val="24"/>
          <w:lang w:val="ro-RO"/>
        </w:rPr>
      </w:pPr>
      <w:r>
        <w:rPr>
          <w:rFonts w:cs="Trebuchet MS" w:ascii="Trebuchet MS" w:hAnsi="Trebuchet MS"/>
          <w:sz w:val="24"/>
          <w:szCs w:val="24"/>
          <w:lang w:val="ro-RO"/>
        </w:rPr>
        <w:t xml:space="preserve">În temeiul </w:t>
      </w:r>
      <w:r>
        <w:rPr>
          <w:rStyle w:val="Bodytext9Exact"/>
          <w:rFonts w:cs="Trebuchet MS" w:ascii="Trebuchet MS" w:hAnsi="Trebuchet MS"/>
          <w:sz w:val="24"/>
          <w:szCs w:val="24"/>
          <w:u w:val="none"/>
        </w:rPr>
        <w:t xml:space="preserve">art. 375 alin. (1^6) </w:t>
      </w:r>
      <w:r>
        <w:rPr>
          <w:rFonts w:eastAsia="NSimSun" w:cs="Trebuchet MS" w:ascii="Trebuchet MS" w:hAnsi="Trebuchet MS"/>
          <w:kern w:val="2"/>
          <w:sz w:val="24"/>
          <w:szCs w:val="24"/>
          <w:lang w:val="ro-RO" w:bidi="hi-IN"/>
        </w:rPr>
        <w:t xml:space="preserve">din Legea nr. 227/2015 privind Codul fiscal, al </w:t>
      </w:r>
      <w:r>
        <w:rPr>
          <w:rFonts w:cs="Trebuchet MS" w:ascii="Trebuchet MS" w:hAnsi="Trebuchet MS"/>
          <w:sz w:val="24"/>
          <w:szCs w:val="24"/>
          <w:lang w:val="ro-RO"/>
        </w:rPr>
        <w:t xml:space="preserve">art. 2 alin. (5) din Legea nr. 268/2021 pentru înființarea Autorității Vamale Române și pentru modificarea unor acte normative, al </w:t>
      </w:r>
      <w:r>
        <w:rPr>
          <w:rFonts w:cs="Trebuchet MS" w:ascii="Trebuchet MS" w:hAnsi="Trebuchet MS"/>
          <w:iCs/>
          <w:color w:val="000000"/>
          <w:sz w:val="24"/>
          <w:szCs w:val="24"/>
          <w:lang w:val="ro-RO"/>
        </w:rPr>
        <w:t>art. 11 alin. (3) din Hotărârea Guvernului nr. 520/2013 privind organizarea și funcționarea Agenției Naționale de Administrare Fiscală, cu modificările și completările ult</w:t>
      </w:r>
      <w:r>
        <w:rPr>
          <w:rFonts w:cs="Trebuchet MS" w:ascii="Trebuchet MS" w:hAnsi="Trebuchet MS"/>
          <w:color w:val="000000"/>
          <w:sz w:val="24"/>
          <w:szCs w:val="24"/>
          <w:lang w:val="ro-RO"/>
        </w:rPr>
        <w:t xml:space="preserve">erioare, precum și ale prevederilor art. 8 alin. (3) din </w:t>
      </w:r>
      <w:r>
        <w:rPr>
          <w:rFonts w:cs="Trebuchet MS" w:ascii="Trebuchet MS" w:hAnsi="Trebuchet MS"/>
          <w:iCs/>
          <w:color w:val="000000"/>
          <w:sz w:val="24"/>
          <w:szCs w:val="24"/>
          <w:lang w:val="ro-RO"/>
        </w:rPr>
        <w:t>Hotărârea Guvernului nr. 237/2022 privind organizarea și funcționarea Autorității Vamale Române și pentru modificarea pct. 1 de la lit. C din cadrul anexei nr. 1 la Hotărârea Guvernului nr. 791/2009, privind condițiile pentru certificarea aeroporturilor civile internaționale sau deschise traficului aerian internațional, cu modificările și completările ulterioare,</w:t>
      </w:r>
    </w:p>
    <w:p>
      <w:pPr>
        <w:pStyle w:val="Normal"/>
        <w:tabs>
          <w:tab w:val="left" w:pos="720" w:leader="none"/>
        </w:tabs>
        <w:spacing w:before="0" w:after="144"/>
        <w:jc w:val="both"/>
        <w:rPr>
          <w:rFonts w:ascii="Trebuchet MS" w:hAnsi="Trebuchet MS"/>
          <w:sz w:val="24"/>
          <w:szCs w:val="24"/>
          <w:lang w:val="ro-RO"/>
        </w:rPr>
      </w:pPr>
      <w:r>
        <w:rPr>
          <w:rFonts w:cs="Trebuchet MS" w:ascii="Trebuchet MS" w:hAnsi="Trebuchet MS"/>
          <w:bCs/>
          <w:sz w:val="24"/>
          <w:szCs w:val="24"/>
          <w:lang w:val="ro-RO"/>
        </w:rPr>
        <w:t xml:space="preserve">Preşedintele Agenţiei Naţionale de Administrare Fiscală și </w:t>
      </w:r>
      <w:r>
        <w:rPr>
          <w:rFonts w:cs="Trebuchet MS" w:ascii="Trebuchet MS" w:hAnsi="Trebuchet MS"/>
          <w:sz w:val="24"/>
          <w:szCs w:val="24"/>
          <w:lang w:val="ro-RO"/>
        </w:rPr>
        <w:t>P</w:t>
      </w:r>
      <w:r>
        <w:rPr>
          <w:rFonts w:cs="Trebuchet MS" w:ascii="Trebuchet MS" w:hAnsi="Trebuchet MS"/>
          <w:bCs/>
          <w:sz w:val="24"/>
          <w:szCs w:val="24"/>
          <w:lang w:val="ro-RO"/>
        </w:rPr>
        <w:t>reşedintele Autorității Vamale Române,</w:t>
      </w:r>
    </w:p>
    <w:p>
      <w:pPr>
        <w:pStyle w:val="Normal"/>
        <w:tabs>
          <w:tab w:val="left" w:pos="720" w:leader="none"/>
        </w:tabs>
        <w:spacing w:before="0" w:after="120"/>
        <w:contextualSpacing/>
        <w:jc w:val="left"/>
        <w:rPr>
          <w:rFonts w:cs="Trebuchet MS"/>
          <w:lang w:val="ro-RO"/>
        </w:rPr>
      </w:pPr>
      <w:r>
        <w:rPr>
          <w:rFonts w:cs="Trebuchet MS"/>
          <w:lang w:val="ro-RO"/>
        </w:rPr>
      </w:r>
    </w:p>
    <w:p>
      <w:pPr>
        <w:pStyle w:val="Normal"/>
        <w:tabs>
          <w:tab w:val="left" w:pos="720" w:leader="none"/>
        </w:tabs>
        <w:spacing w:before="0" w:after="120"/>
        <w:contextualSpacing/>
        <w:jc w:val="left"/>
        <w:rPr>
          <w:sz w:val="24"/>
          <w:szCs w:val="24"/>
          <w:lang w:val="ro-RO"/>
        </w:rPr>
      </w:pPr>
      <w:r>
        <w:rPr>
          <w:rFonts w:cs="Trebuchet MS" w:ascii="Trebuchet MS" w:hAnsi="Trebuchet MS"/>
          <w:sz w:val="24"/>
          <w:szCs w:val="24"/>
          <w:lang w:val="ro-RO"/>
        </w:rPr>
        <w:t>Emit următorul:</w:t>
      </w:r>
    </w:p>
    <w:p>
      <w:pPr>
        <w:pStyle w:val="Normal"/>
        <w:tabs>
          <w:tab w:val="left" w:pos="720" w:leader="none"/>
        </w:tabs>
        <w:spacing w:before="120" w:after="0"/>
        <w:contextualSpacing/>
        <w:jc w:val="center"/>
        <w:rPr>
          <w:rFonts w:ascii="Trebuchet MS" w:hAnsi="Trebuchet MS"/>
          <w:sz w:val="24"/>
          <w:szCs w:val="24"/>
          <w:lang w:val="ro-RO"/>
        </w:rPr>
      </w:pPr>
      <w:r>
        <w:rPr>
          <w:rFonts w:ascii="Trebuchet MS" w:hAnsi="Trebuchet MS"/>
          <w:b/>
          <w:bCs/>
          <w:color w:val="000000"/>
          <w:sz w:val="24"/>
          <w:szCs w:val="24"/>
          <w:lang w:val="ro-RO"/>
        </w:rPr>
        <w:t>ORDIN</w:t>
      </w:r>
    </w:p>
    <w:p>
      <w:pPr>
        <w:pStyle w:val="Normal"/>
        <w:spacing w:lineRule="auto" w:line="360" w:before="0" w:after="0"/>
        <w:jc w:val="left"/>
        <w:rPr>
          <w:rFonts w:ascii="Trebuchet MS" w:hAnsi="Trebuchet MS" w:cs="Times New Roman"/>
          <w:bCs/>
          <w:sz w:val="24"/>
          <w:szCs w:val="24"/>
          <w:lang w:val="ro-RO"/>
        </w:rPr>
      </w:pPr>
      <w:r>
        <w:rPr>
          <w:rFonts w:cs="Times New Roman" w:ascii="Trebuchet MS" w:hAnsi="Trebuchet MS"/>
          <w:bCs/>
          <w:sz w:val="24"/>
          <w:szCs w:val="24"/>
          <w:lang w:val="ro-RO"/>
        </w:rPr>
      </w:r>
    </w:p>
    <w:p>
      <w:pPr>
        <w:pStyle w:val="Normal"/>
        <w:spacing w:lineRule="auto" w:line="240" w:before="0" w:after="0"/>
        <w:jc w:val="both"/>
        <w:rPr>
          <w:rFonts w:ascii="Trebuchet MS" w:hAnsi="Trebuchet MS" w:cs="Trebuchet MS"/>
          <w:iCs/>
          <w:color w:val="000000"/>
          <w:sz w:val="24"/>
          <w:szCs w:val="24"/>
          <w:lang w:val="ro-RO"/>
        </w:rPr>
      </w:pPr>
      <w:r>
        <w:rPr>
          <w:rFonts w:cs="Times New Roman" w:ascii="Trebuchet MS" w:hAnsi="Trebuchet MS"/>
          <w:b/>
          <w:bCs/>
          <w:sz w:val="24"/>
          <w:szCs w:val="24"/>
          <w:lang w:val="ro-RO"/>
        </w:rPr>
        <w:t xml:space="preserve">Art. </w:t>
      </w:r>
      <w:r>
        <w:rPr>
          <w:rFonts w:cs="Trebuchet MS" w:ascii="Trebuchet MS" w:hAnsi="Trebuchet MS"/>
          <w:b/>
          <w:iCs/>
          <w:color w:val="000000"/>
          <w:sz w:val="24"/>
          <w:szCs w:val="24"/>
          <w:lang w:val="ro-RO"/>
        </w:rPr>
        <w:t>1</w:t>
      </w:r>
      <w:r>
        <w:rPr>
          <w:rFonts w:cs="Trebuchet MS" w:ascii="Trebuchet MS" w:hAnsi="Trebuchet MS"/>
          <w:iCs/>
          <w:color w:val="000000"/>
          <w:sz w:val="24"/>
          <w:szCs w:val="24"/>
          <w:lang w:val="ro-RO"/>
        </w:rPr>
        <w:t xml:space="preserve"> - Activitatea de monitorizare și control al activității desfășurată de destinatarii înregistrați care prezintă risc fiscal ridicat, se stabilește potrivit  Anexei care face parte integrantă din prezentul ordin.</w:t>
      </w:r>
    </w:p>
    <w:p>
      <w:pPr>
        <w:pStyle w:val="Normal"/>
        <w:spacing w:lineRule="auto" w:line="240" w:before="0" w:after="0"/>
        <w:jc w:val="both"/>
        <w:rPr>
          <w:rFonts w:ascii="Trebuchet MS" w:hAnsi="Trebuchet MS" w:cs="Trebuchet MS"/>
          <w:iCs/>
          <w:color w:val="000000"/>
          <w:sz w:val="24"/>
          <w:szCs w:val="24"/>
          <w:lang w:val="ro-RO"/>
        </w:rPr>
      </w:pPr>
      <w:r>
        <w:rPr>
          <w:rFonts w:cs="Trebuchet MS" w:ascii="Trebuchet MS" w:hAnsi="Trebuchet MS"/>
          <w:iCs/>
          <w:color w:val="000000"/>
          <w:sz w:val="24"/>
          <w:szCs w:val="24"/>
          <w:lang w:val="ro-RO"/>
        </w:rPr>
      </w:r>
    </w:p>
    <w:p>
      <w:pPr>
        <w:pStyle w:val="NormalWeb"/>
        <w:spacing w:before="0" w:after="0"/>
        <w:jc w:val="both"/>
        <w:rPr>
          <w:rFonts w:ascii="Trebuchet MS" w:hAnsi="Trebuchet MS" w:cs="Times New Roman"/>
          <w:color w:val="auto"/>
          <w:lang w:val="ro-RO"/>
        </w:rPr>
      </w:pPr>
      <w:r>
        <w:rPr>
          <w:rFonts w:cs="Times New Roman" w:ascii="Trebuchet MS" w:hAnsi="Trebuchet MS"/>
          <w:b/>
          <w:color w:val="auto"/>
          <w:lang w:val="ro-RO"/>
        </w:rPr>
        <w:t>Art. 2</w:t>
      </w:r>
      <w:r>
        <w:rPr>
          <w:rFonts w:cs="Times New Roman" w:ascii="Trebuchet MS" w:hAnsi="Trebuchet MS"/>
          <w:color w:val="auto"/>
          <w:lang w:val="ro-RO"/>
        </w:rPr>
        <w:t>. - Referirile la Codul fiscal din cuprinsul prezentului Ordin reprezintă trimiteri la Legea nr. 227/2015 privind Codul fiscal, cu modificările și completările ulterioare.</w:t>
      </w:r>
    </w:p>
    <w:p>
      <w:pPr>
        <w:pStyle w:val="NormalWeb"/>
        <w:spacing w:before="0" w:after="0"/>
        <w:jc w:val="both"/>
        <w:rPr>
          <w:rFonts w:ascii="Trebuchet MS" w:hAnsi="Trebuchet MS" w:cs="Times New Roman"/>
          <w:color w:val="FF0000"/>
          <w:lang w:val="ro-RO"/>
        </w:rPr>
      </w:pPr>
      <w:r>
        <w:rPr>
          <w:rFonts w:cs="Times New Roman" w:ascii="Trebuchet MS" w:hAnsi="Trebuchet MS"/>
          <w:color w:val="FF0000"/>
          <w:lang w:val="ro-RO"/>
        </w:rPr>
      </w:r>
    </w:p>
    <w:p>
      <w:pPr>
        <w:pStyle w:val="Normal"/>
        <w:tabs>
          <w:tab w:val="clear" w:pos="720"/>
          <w:tab w:val="left" w:pos="0" w:leader="none"/>
        </w:tabs>
        <w:jc w:val="both"/>
        <w:rPr>
          <w:rFonts w:ascii="Trebuchet MS" w:hAnsi="Trebuchet MS" w:cs="Times New Roman"/>
          <w:sz w:val="24"/>
          <w:szCs w:val="24"/>
          <w:lang w:val="ro-RO"/>
        </w:rPr>
      </w:pPr>
      <w:r>
        <w:rPr>
          <w:rFonts w:cs="Times New Roman" w:ascii="Trebuchet MS" w:hAnsi="Trebuchet MS"/>
          <w:b/>
          <w:sz w:val="24"/>
          <w:szCs w:val="24"/>
          <w:lang w:val="ro-RO"/>
        </w:rPr>
        <w:t>Art. 3</w:t>
      </w:r>
      <w:r>
        <w:rPr>
          <w:rFonts w:cs="Times New Roman" w:ascii="Trebuchet MS" w:hAnsi="Trebuchet MS"/>
          <w:sz w:val="24"/>
          <w:szCs w:val="24"/>
          <w:lang w:val="ro-RO"/>
        </w:rPr>
        <w:t xml:space="preserve"> - Structurile competente din cadrul Autorității Vamale Române și Agenției Naționale de Administrare Fiscală, Direcția generală de administrare a marilor contribuabili, direcțiile generale regionale ale finanțelor publice și organele fiscale centrale din subordine, vor lua măsuri pentru ducerea la îndeplinire a prevederilor prezentului ordin.</w:t>
      </w:r>
    </w:p>
    <w:p>
      <w:pPr>
        <w:pStyle w:val="Normal"/>
        <w:tabs>
          <w:tab w:val="clear" w:pos="720"/>
          <w:tab w:val="left" w:pos="0" w:leader="none"/>
        </w:tabs>
        <w:jc w:val="both"/>
        <w:rPr>
          <w:rFonts w:ascii="Trebuchet MS" w:hAnsi="Trebuchet MS" w:cs="Times New Roman"/>
          <w:sz w:val="24"/>
          <w:szCs w:val="24"/>
          <w:lang w:val="ro-RO"/>
        </w:rPr>
      </w:pPr>
      <w:r>
        <w:rPr>
          <w:rFonts w:cs="Times New Roman" w:ascii="Trebuchet MS" w:hAnsi="Trebuchet MS"/>
          <w:sz w:val="24"/>
          <w:szCs w:val="24"/>
          <w:lang w:val="ro-RO"/>
        </w:rPr>
      </w:r>
    </w:p>
    <w:p>
      <w:pPr>
        <w:pStyle w:val="Normal"/>
        <w:spacing w:lineRule="auto" w:line="240" w:before="0" w:after="0"/>
        <w:jc w:val="both"/>
        <w:rPr>
          <w:rFonts w:ascii="Trebuchet MS" w:hAnsi="Trebuchet MS" w:cs="Trebuchet MS"/>
          <w:iCs/>
          <w:color w:val="000000"/>
          <w:sz w:val="24"/>
          <w:szCs w:val="24"/>
          <w:lang w:val="ro-RO"/>
        </w:rPr>
      </w:pPr>
      <w:r>
        <w:rPr>
          <w:rFonts w:cs="Trebuchet MS" w:ascii="Trebuchet MS" w:hAnsi="Trebuchet MS"/>
          <w:b/>
          <w:iCs/>
          <w:color w:val="000000"/>
          <w:sz w:val="24"/>
          <w:szCs w:val="24"/>
          <w:lang w:val="ro-RO"/>
        </w:rPr>
        <w:t>Art. 4</w:t>
      </w:r>
      <w:r>
        <w:rPr>
          <w:rFonts w:cs="Trebuchet MS" w:ascii="Trebuchet MS" w:hAnsi="Trebuchet MS"/>
          <w:iCs/>
          <w:color w:val="000000"/>
          <w:sz w:val="24"/>
          <w:szCs w:val="24"/>
          <w:lang w:val="ro-RO"/>
        </w:rPr>
        <w:t xml:space="preserve"> - Prezentul ordin se publică în Monitorul Oficial al României, Partea I.</w:t>
      </w:r>
    </w:p>
    <w:p>
      <w:pPr>
        <w:pStyle w:val="Normal"/>
        <w:spacing w:lineRule="auto" w:line="360" w:before="0" w:after="0"/>
        <w:ind w:firstLine="720"/>
        <w:jc w:val="left"/>
        <w:rPr>
          <w:rFonts w:ascii="Trebuchet MS" w:hAnsi="Trebuchet MS" w:cs="Times New Roman"/>
          <w:b/>
          <w:bCs/>
          <w:sz w:val="24"/>
          <w:szCs w:val="24"/>
          <w:lang w:val="ro-RO"/>
        </w:rPr>
      </w:pPr>
      <w:r>
        <w:rPr>
          <w:rFonts w:cs="Times New Roman" w:ascii="Trebuchet MS" w:hAnsi="Trebuchet MS"/>
          <w:b/>
          <w:bCs/>
          <w:sz w:val="24"/>
          <w:szCs w:val="24"/>
          <w:lang w:val="ro-RO"/>
        </w:rPr>
      </w:r>
    </w:p>
    <w:p>
      <w:pPr>
        <w:pStyle w:val="Normal"/>
        <w:spacing w:lineRule="auto" w:line="360" w:before="0" w:after="0"/>
        <w:ind w:firstLine="720"/>
        <w:jc w:val="center"/>
        <w:rPr>
          <w:rFonts w:ascii="Trebuchet MS" w:hAnsi="Trebuchet MS" w:cs="Times New Roman"/>
          <w:b/>
          <w:bCs/>
          <w:sz w:val="24"/>
          <w:szCs w:val="24"/>
          <w:lang w:val="ro-RO"/>
        </w:rPr>
      </w:pPr>
      <w:r>
        <w:rPr>
          <w:rFonts w:cs="Times New Roman" w:ascii="Trebuchet MS" w:hAnsi="Trebuchet MS"/>
          <w:b/>
          <w:bCs/>
          <w:sz w:val="24"/>
          <w:szCs w:val="24"/>
          <w:lang w:val="ro-RO"/>
        </w:rPr>
        <w:t>Anexă</w:t>
      </w:r>
    </w:p>
    <w:p>
      <w:pPr>
        <w:pStyle w:val="Normal"/>
        <w:spacing w:lineRule="auto" w:line="360" w:before="0" w:after="0"/>
        <w:ind w:firstLine="720"/>
        <w:jc w:val="left"/>
        <w:rPr>
          <w:rFonts w:ascii="Trebuchet MS" w:hAnsi="Trebuchet MS" w:cs="Times New Roman"/>
          <w:b/>
          <w:bCs/>
          <w:sz w:val="24"/>
          <w:szCs w:val="24"/>
          <w:lang w:val="ro-RO"/>
        </w:rPr>
      </w:pPr>
      <w:r>
        <w:rPr>
          <w:rFonts w:cs="Times New Roman" w:ascii="Trebuchet MS" w:hAnsi="Trebuchet MS"/>
          <w:b/>
          <w:bCs/>
          <w:sz w:val="24"/>
          <w:szCs w:val="24"/>
          <w:lang w:val="ro-RO"/>
        </w:rPr>
      </w:r>
    </w:p>
    <w:p>
      <w:pPr>
        <w:pStyle w:val="Normal"/>
        <w:spacing w:before="0" w:after="0"/>
        <w:jc w:val="both"/>
        <w:rPr>
          <w:rFonts w:ascii="Trebuchet MS" w:hAnsi="Trebuchet MS" w:cs="Trebuchet MS"/>
          <w:iCs/>
          <w:color w:val="000000"/>
          <w:sz w:val="24"/>
          <w:szCs w:val="24"/>
          <w:lang w:val="ro-RO"/>
        </w:rPr>
      </w:pPr>
      <w:r>
        <w:rPr>
          <w:rFonts w:cs="Times New Roman" w:ascii="Trebuchet MS" w:hAnsi="Trebuchet MS"/>
          <w:bCs/>
          <w:sz w:val="24"/>
          <w:szCs w:val="24"/>
          <w:lang w:val="ro-RO"/>
        </w:rPr>
        <w:t xml:space="preserve">Activitatea </w:t>
      </w:r>
      <w:r>
        <w:rPr>
          <w:rFonts w:cs="Trebuchet MS" w:ascii="Trebuchet MS" w:hAnsi="Trebuchet MS"/>
          <w:iCs/>
          <w:color w:val="000000"/>
          <w:sz w:val="24"/>
          <w:szCs w:val="24"/>
          <w:lang w:val="ro-RO"/>
        </w:rPr>
        <w:t>de monitorizare și control al activității desfășurate de destinatarii înregistrați care prezintă risc fiscal</w:t>
      </w:r>
    </w:p>
    <w:p>
      <w:pPr>
        <w:pStyle w:val="Normal"/>
        <w:spacing w:before="0" w:after="0"/>
        <w:jc w:val="both"/>
        <w:rPr>
          <w:rFonts w:ascii="Trebuchet MS" w:hAnsi="Trebuchet MS" w:cs="Trebuchet MS"/>
          <w:iCs/>
          <w:color w:val="000000"/>
          <w:sz w:val="24"/>
          <w:szCs w:val="24"/>
          <w:lang w:val="ro-RO"/>
        </w:rPr>
      </w:pPr>
      <w:r>
        <w:rPr>
          <w:rFonts w:cs="Trebuchet MS" w:ascii="Trebuchet MS" w:hAnsi="Trebuchet MS"/>
          <w:iCs/>
          <w:color w:val="000000"/>
          <w:sz w:val="24"/>
          <w:szCs w:val="24"/>
          <w:lang w:val="ro-RO"/>
        </w:rPr>
      </w:r>
    </w:p>
    <w:p>
      <w:pPr>
        <w:pStyle w:val="Normal"/>
        <w:spacing w:before="0" w:after="0"/>
        <w:jc w:val="both"/>
        <w:rPr>
          <w:rFonts w:ascii="Trebuchet MS" w:hAnsi="Trebuchet MS" w:eastAsia="Times New Roman" w:cs="Times New Roman"/>
          <w:color w:val="C00000"/>
          <w:sz w:val="24"/>
          <w:szCs w:val="24"/>
          <w:lang w:val="ro-RO"/>
        </w:rPr>
      </w:pPr>
      <w:r>
        <w:rPr>
          <w:rFonts w:eastAsia="Times New Roman" w:cs="Times New Roman" w:ascii="Trebuchet MS" w:hAnsi="Trebuchet MS"/>
          <w:sz w:val="24"/>
          <w:szCs w:val="24"/>
          <w:lang w:val="ro-RO"/>
        </w:rPr>
        <w:t>1. Destinatarii înregistrați care prezintă risc fiscal ridicat au obligația să informeze autoritatea vamală teritorială cu privire la data recepției produselor accizabile înscrise în Declarația pe propria răspundere privind cantitatea de produse accizabile pe care intenționează să o primească în regim suspensiv   și  vor transmite dovada plății anticipate a accizelor aferente fiecărei livrări, anterior livrărilor pe teritoriul național.</w:t>
      </w:r>
    </w:p>
    <w:p>
      <w:pPr>
        <w:pStyle w:val="Normal"/>
        <w:spacing w:before="0" w:after="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numPr>
          <w:ilvl w:val="0"/>
          <w:numId w:val="1"/>
        </w:numPr>
        <w:spacing w:before="0" w:after="0"/>
        <w:jc w:val="both"/>
        <w:rPr>
          <w:rFonts w:ascii="Trebuchet MS" w:hAnsi="Trebuchet MS" w:eastAsia="Times New Roman" w:cs="Times New Roman"/>
          <w:sz w:val="24"/>
          <w:szCs w:val="24"/>
          <w:highlight w:val="none"/>
          <w:lang w:val="ro-RO"/>
        </w:rPr>
      </w:pPr>
      <w:r>
        <w:rPr>
          <w:rFonts w:eastAsia="Times New Roman" w:cs="Times New Roman" w:ascii="Trebuchet MS" w:hAnsi="Trebuchet MS"/>
          <w:sz w:val="24"/>
          <w:szCs w:val="24"/>
          <w:lang w:val="ro-RO"/>
        </w:rPr>
        <w:t>Autoritatea vamală teritorială transmite pe e-mail la unitatea trezoreriei statului a organului fiscal la care sunt luați în evidență destinatarii prevăzuți la pct.1, situația documentelor de plată pentru care se solicită confirmarea încasării/neîncasării sumei achiatate de aceștia. Unitățile trezoreriei statului confirmă/nu confirmă încasarea sumelor respective în termen de maxim 2 zile lucrătoare de la primirea solicitării. Adresele de e-mail de la car/la care se transmit situațiile documentelor de plată pentru care se solicită confirmarea încasării/neîncasării sumelor achitate se stabilesc de comun acord între autoritățile vamale teritoriale și unitățile teritoriale ale trezoreriei statului.</w:t>
      </w:r>
    </w:p>
    <w:p>
      <w:pPr>
        <w:pStyle w:val="Normal"/>
        <w:numPr>
          <w:ilvl w:val="0"/>
          <w:numId w:val="0"/>
        </w:numPr>
        <w:spacing w:before="0" w:after="0"/>
        <w:ind w:left="0" w:hanging="0"/>
        <w:jc w:val="both"/>
        <w:rPr>
          <w:rFonts w:ascii="Trebuchet MS" w:hAnsi="Trebuchet MS" w:eastAsia="Times New Roman" w:cs="Times New Roman"/>
          <w:sz w:val="24"/>
          <w:szCs w:val="24"/>
          <w:highlight w:val="none"/>
          <w:lang w:val="ro-RO"/>
        </w:rPr>
      </w:pPr>
      <w:r>
        <w:rPr>
          <w:rFonts w:eastAsia="Times New Roman" w:cs="Times New Roman" w:ascii="Trebuchet MS" w:hAnsi="Trebuchet MS"/>
          <w:sz w:val="24"/>
          <w:szCs w:val="24"/>
          <w:lang w:val="ro-RO"/>
        </w:rPr>
        <w:t>Modelul situației pe care autoritatea vamală teritorială o va trimite unității teritoriale a trezoreriei statului în scopul verificării încasării sumelor este prevăzută în Anexa nr.1 a prezentei anexe.</w:t>
      </w:r>
    </w:p>
    <w:p>
      <w:pPr>
        <w:pStyle w:val="Normal"/>
        <w:numPr>
          <w:ilvl w:val="0"/>
          <w:numId w:val="0"/>
        </w:numPr>
        <w:spacing w:before="0" w:after="0"/>
        <w:ind w:left="0" w:hanging="0"/>
        <w:jc w:val="both"/>
        <w:rPr>
          <w:rFonts w:ascii="Trebuchet MS" w:hAnsi="Trebuchet MS" w:eastAsia="Times New Roman" w:cs="Times New Roman"/>
          <w:sz w:val="24"/>
          <w:szCs w:val="24"/>
          <w:highlight w:val="none"/>
          <w:lang w:val="ro-RO"/>
        </w:rPr>
      </w:pPr>
      <w:r>
        <w:rPr>
          <w:rFonts w:eastAsia="Times New Roman" w:cs="Times New Roman" w:ascii="Trebuchet MS" w:hAnsi="Trebuchet MS"/>
          <w:sz w:val="24"/>
          <w:szCs w:val="24"/>
          <w:lang w:val="ro-RO"/>
        </w:rPr>
      </w:r>
    </w:p>
    <w:p>
      <w:pPr>
        <w:pStyle w:val="Normal"/>
        <w:numPr>
          <w:ilvl w:val="0"/>
          <w:numId w:val="1"/>
        </w:numPr>
        <w:spacing w:before="0" w:after="0"/>
        <w:ind w:left="0" w:hanging="0"/>
        <w:jc w:val="both"/>
        <w:rPr>
          <w:rFonts w:ascii="Trebuchet MS" w:hAnsi="Trebuchet MS" w:eastAsia="SimSun" w:cs="Times New Roman"/>
          <w:color w:val="auto"/>
          <w:sz w:val="24"/>
          <w:szCs w:val="24"/>
          <w:lang w:val="ro-RO"/>
        </w:rPr>
      </w:pPr>
      <w:r>
        <w:rPr>
          <w:rFonts w:eastAsia="Times New Roman" w:cs="Times New Roman" w:ascii="Trebuchet MS" w:hAnsi="Trebuchet MS"/>
          <w:sz w:val="24"/>
          <w:szCs w:val="24"/>
          <w:lang w:val="ro-RO"/>
        </w:rPr>
        <w:t xml:space="preserve">În cazul în care plata nu este confirmată de către trezorerie, se consideră că livrarea a fost efectuată fără plata anticipată a accizelor datorate iar  autoritatea vamală teritorială competentă va informa organul fiscal competent și organul de control, </w:t>
      </w:r>
      <w:r>
        <w:rPr>
          <w:rFonts w:eastAsia="Times New Roman" w:cs="Times New Roman" w:ascii="Trebuchet MS" w:hAnsi="Trebuchet MS"/>
          <w:color w:val="auto"/>
          <w:sz w:val="24"/>
          <w:szCs w:val="24"/>
          <w:lang w:val="ro-RO"/>
        </w:rPr>
        <w:t xml:space="preserve">respectiv Direcția generală antifraudă fiscală – Structura Centrală din cadrul </w:t>
      </w:r>
      <w:r>
        <w:rPr>
          <w:rFonts w:cs="Arial" w:ascii="Trebuchet MS" w:hAnsi="Trebuchet MS"/>
          <w:color w:val="auto"/>
          <w:sz w:val="24"/>
          <w:szCs w:val="24"/>
          <w:lang w:val="ro-RO" w:eastAsia="zh-CN"/>
        </w:rPr>
        <w:t>Agenției Naționale de Administrare Fiscală</w:t>
      </w:r>
      <w:r>
        <w:rPr>
          <w:rFonts w:eastAsia="Times New Roman" w:cs="Times New Roman" w:ascii="Trebuchet MS" w:hAnsi="Trebuchet MS"/>
          <w:sz w:val="24"/>
          <w:szCs w:val="24"/>
          <w:lang w:val="ro-RO"/>
        </w:rPr>
        <w:t xml:space="preserve">. În acest caz, organul fiscal competent verifică dacă operatorul economic  a depus declarația fiscală pentru accizele datorate pentru livrarea efectuată fără plata anticipată a acestora. În cazul în care accizele au fost declarate dar nu au fost plătite, organul fiscal execută garanția conform procedurilor prevăzute de ordinul comun </w:t>
      </w:r>
      <w:r>
        <w:rPr>
          <w:rFonts w:cs="Arial" w:ascii="Trebuchet MS" w:hAnsi="Trebuchet MS"/>
          <w:color w:val="auto"/>
          <w:sz w:val="24"/>
          <w:szCs w:val="24"/>
          <w:lang w:val="ro-RO" w:eastAsia="zh-CN"/>
        </w:rPr>
        <w:t>al președintelui Agenției Naționale de Administrare Fiscală și al președintelui Autorității Vamale Române privind regulile referitoare la constituirea, actualizarea și eliberarea garanției prevăzute la art. 348 alin.(1</w:t>
      </w:r>
      <w:r>
        <w:rPr>
          <w:rFonts w:cs="Arial" w:ascii="Arial" w:hAnsi="Arial"/>
          <w:color w:val="auto"/>
          <w:sz w:val="24"/>
          <w:szCs w:val="24"/>
          <w:lang w:val="ro-RO" w:eastAsia="zh-CN"/>
        </w:rPr>
        <w:t>^</w:t>
      </w:r>
      <w:r>
        <w:rPr>
          <w:rFonts w:cs="Arial" w:ascii="Trebuchet MS" w:hAnsi="Trebuchet MS"/>
          <w:color w:val="auto"/>
          <w:sz w:val="24"/>
          <w:szCs w:val="24"/>
          <w:lang w:val="ro-RO" w:eastAsia="zh-CN"/>
        </w:rPr>
        <w:t>1) și alin.(1</w:t>
      </w:r>
      <w:r>
        <w:rPr>
          <w:rFonts w:cs="Arial" w:ascii="Arial" w:hAnsi="Arial"/>
          <w:color w:val="auto"/>
          <w:sz w:val="24"/>
          <w:szCs w:val="24"/>
          <w:lang w:val="ro-RO" w:eastAsia="zh-CN"/>
        </w:rPr>
        <w:t>^</w:t>
      </w:r>
      <w:r>
        <w:rPr>
          <w:rFonts w:cs="Arial" w:ascii="Trebuchet MS" w:hAnsi="Trebuchet MS"/>
          <w:color w:val="auto"/>
          <w:sz w:val="24"/>
          <w:szCs w:val="24"/>
          <w:lang w:val="ro-RO" w:eastAsia="zh-CN"/>
        </w:rPr>
        <w:t>2) și la art.435 alin.(3^2) și alin.(3^6) din Codul fiscal.</w:t>
      </w:r>
    </w:p>
    <w:p>
      <w:pPr>
        <w:pStyle w:val="Normal"/>
        <w:numPr>
          <w:ilvl w:val="0"/>
          <w:numId w:val="0"/>
        </w:numPr>
        <w:spacing w:before="0" w:after="0"/>
        <w:ind w:left="0" w:hanging="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numPr>
          <w:ilvl w:val="0"/>
          <w:numId w:val="0"/>
        </w:numPr>
        <w:spacing w:before="0" w:after="0"/>
        <w:ind w:left="0" w:hanging="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4. (1) Organel</w:t>
      </w:r>
      <w:r>
        <w:rPr>
          <w:rFonts w:cs="Arial" w:ascii="Trebuchet MS" w:hAnsi="Trebuchet MS"/>
          <w:sz w:val="24"/>
          <w:szCs w:val="24"/>
          <w:lang w:val="ro-RO" w:eastAsia="zh-CN"/>
        </w:rPr>
        <w:t xml:space="preserve">e de control din cadrul Agenției Naționale de Administrare Fiscală – Direcția generală antifraudă fiscală </w:t>
      </w:r>
      <w:r>
        <w:rPr>
          <w:rFonts w:eastAsia="Times New Roman" w:cs="Times New Roman" w:ascii="Trebuchet MS" w:hAnsi="Trebuchet MS"/>
          <w:sz w:val="24"/>
          <w:szCs w:val="24"/>
          <w:lang w:val="ro-RO"/>
        </w:rPr>
        <w:t>– Structura Centrală</w:t>
      </w:r>
      <w:r>
        <w:rPr>
          <w:rFonts w:cs="Arial" w:ascii="Trebuchet MS" w:hAnsi="Trebuchet MS"/>
          <w:sz w:val="24"/>
          <w:szCs w:val="24"/>
          <w:lang w:val="ro-RO" w:eastAsia="zh-CN"/>
        </w:rPr>
        <w:t xml:space="preserve"> au obligația ca, în termen de maximum 15 zile de la data fiecărui termen declarativ, să verifice modul de îndeplinire al </w:t>
      </w:r>
      <w:r>
        <w:rPr>
          <w:rFonts w:cs="Times New Roman" w:ascii="Trebuchet MS" w:hAnsi="Trebuchet MS"/>
          <w:bCs/>
          <w:sz w:val="24"/>
          <w:szCs w:val="24"/>
          <w:lang w:val="ro-RO"/>
        </w:rPr>
        <w:t>tuturor obligațiilor legale privind evidențierea, declararea și plata obligaţiilor fiscale administrate de Agenția Națională de Administrare Fiscală aferente lunii precedente de către operatorii economici prevăzuți la pct.1.</w:t>
      </w:r>
    </w:p>
    <w:p>
      <w:pPr>
        <w:pStyle w:val="Normal"/>
        <w:spacing w:before="0" w:after="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(2) În cazul în care organele de control din cadrul Agenției Naționale de Administrare Fiscală - Direcția generală antifraudă fiscală - Structura Centrală constată că suma de plată reprezentând acciza, aferentă livrărilor din luna precedentă este mai mică decât acciza declarată sau acciza platită este mai mică decât acciza datorată, procedează la emiterea deciziei de impunere ca urmare a verificării documentare și urmează procedurile legale prevazute de art. 452 alin.(1) lit.c) și art. 452 alin.(3) din Codul Fiscal.</w:t>
      </w:r>
    </w:p>
    <w:p>
      <w:pPr>
        <w:pStyle w:val="Normal"/>
        <w:numPr>
          <w:ilvl w:val="0"/>
          <w:numId w:val="1"/>
        </w:numPr>
        <w:spacing w:before="0" w:after="0"/>
        <w:ind w:left="0" w:hanging="0"/>
        <w:jc w:val="both"/>
        <w:rPr>
          <w:rFonts w:ascii="Trebuchet MS" w:hAnsi="Trebuchet MS" w:eastAsia="SimSun" w:cs="Times New Roman"/>
          <w:color w:val="auto"/>
          <w:sz w:val="24"/>
          <w:szCs w:val="24"/>
          <w:lang w:val="ro-RO"/>
        </w:rPr>
      </w:pPr>
      <w:r>
        <w:rPr>
          <w:rFonts w:eastAsia="Times New Roman" w:cs="Times New Roman" w:ascii="Trebuchet MS" w:hAnsi="Trebuchet MS"/>
          <w:sz w:val="24"/>
          <w:szCs w:val="24"/>
          <w:lang w:val="ro-RO"/>
        </w:rPr>
        <w:t xml:space="preserve"> </w:t>
      </w:r>
      <w:r>
        <w:rPr>
          <w:rFonts w:eastAsia="Times New Roman" w:cs="Times New Roman" w:ascii="Trebuchet MS" w:hAnsi="Trebuchet MS"/>
          <w:sz w:val="24"/>
          <w:szCs w:val="24"/>
          <w:lang w:val="ro-RO"/>
        </w:rPr>
        <w:t xml:space="preserve">Totodată, se va informa organul fiscal în vederea executării garanției pentru stingerea diferențelor de accize individualizate în decizia de impunere conform procedurilor prevăzute în ordinul comun </w:t>
      </w:r>
      <w:r>
        <w:rPr>
          <w:rFonts w:cs="Arial" w:ascii="Trebuchet MS" w:hAnsi="Trebuchet MS"/>
          <w:color w:val="auto"/>
          <w:sz w:val="24"/>
          <w:szCs w:val="24"/>
          <w:lang w:val="ro-RO" w:eastAsia="zh-CN"/>
        </w:rPr>
        <w:t>al președintelui Agenției Naționale de Administrare Fiscală și al președintelui Autorității Vamale Române privind regulile referitoare la constituirea, actualizarea și eliberarea garanției prevăzute la art. 348 alin.(1</w:t>
      </w:r>
      <w:r>
        <w:rPr>
          <w:rFonts w:cs="Arial" w:ascii="Arial" w:hAnsi="Arial"/>
          <w:color w:val="auto"/>
          <w:sz w:val="24"/>
          <w:szCs w:val="24"/>
          <w:lang w:val="ro-RO" w:eastAsia="zh-CN"/>
        </w:rPr>
        <w:t>^</w:t>
      </w:r>
      <w:r>
        <w:rPr>
          <w:rFonts w:cs="Arial" w:ascii="Trebuchet MS" w:hAnsi="Trebuchet MS"/>
          <w:color w:val="auto"/>
          <w:sz w:val="24"/>
          <w:szCs w:val="24"/>
          <w:lang w:val="ro-RO" w:eastAsia="zh-CN"/>
        </w:rPr>
        <w:t>1) și alin.(1</w:t>
      </w:r>
      <w:r>
        <w:rPr>
          <w:rFonts w:cs="Arial" w:ascii="Arial" w:hAnsi="Arial"/>
          <w:color w:val="auto"/>
          <w:sz w:val="24"/>
          <w:szCs w:val="24"/>
          <w:lang w:val="ro-RO" w:eastAsia="zh-CN"/>
        </w:rPr>
        <w:t>^</w:t>
      </w:r>
      <w:r>
        <w:rPr>
          <w:rFonts w:cs="Arial" w:ascii="Trebuchet MS" w:hAnsi="Trebuchet MS"/>
          <w:color w:val="auto"/>
          <w:sz w:val="24"/>
          <w:szCs w:val="24"/>
          <w:lang w:val="ro-RO" w:eastAsia="zh-CN"/>
        </w:rPr>
        <w:t>2) și la art.435 alin.(3^2) și alin.(3^6) din Codul fiscal.</w:t>
      </w:r>
    </w:p>
    <w:p>
      <w:pPr>
        <w:pStyle w:val="Normal"/>
        <w:spacing w:lineRule="auto" w:line="240" w:before="0" w:after="0"/>
        <w:contextualSpacing/>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5. (1) Destinatarii înregistrați care prezintă risc fiscal ridicat, au obligatia ca lunar sa transmită situația privind achizitiile aferente lunii precedente, conform modelului prevazut in Anexa nr. 2 și situația privind livrările aferente lunii precedente, conform modelului prevăzut în Anexa nr. 3</w:t>
      </w:r>
      <w:bookmarkStart w:id="0" w:name="_GoBack"/>
      <w:bookmarkEnd w:id="0"/>
      <w:r>
        <w:rPr>
          <w:rFonts w:eastAsia="Times New Roman" w:cs="Times New Roman" w:ascii="Trebuchet MS" w:hAnsi="Trebuchet MS"/>
          <w:sz w:val="24"/>
          <w:szCs w:val="24"/>
          <w:lang w:val="ro-RO"/>
        </w:rPr>
        <w:t>.</w:t>
      </w:r>
    </w:p>
    <w:p>
      <w:pPr>
        <w:pStyle w:val="Normal"/>
        <w:spacing w:lineRule="auto" w:line="240" w:before="0" w:after="0"/>
        <w:contextualSpacing/>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 xml:space="preserve">(2) Situațiile prevăzute la alin. (1) vor fi transmise la autoritatea vamală teritorială și la </w:t>
      </w:r>
      <w:r>
        <w:rPr>
          <w:rFonts w:cs="Arial" w:ascii="Trebuchet MS" w:hAnsi="Trebuchet MS"/>
          <w:sz w:val="24"/>
          <w:szCs w:val="24"/>
          <w:lang w:val="ro-RO" w:eastAsia="zh-CN"/>
        </w:rPr>
        <w:t xml:space="preserve">Agenția Națională de Administrare Fiscală </w:t>
      </w:r>
      <w:r>
        <w:rPr>
          <w:rFonts w:eastAsia="Times New Roman" w:cs="Times New Roman" w:ascii="Trebuchet MS" w:hAnsi="Trebuchet MS"/>
          <w:sz w:val="24"/>
          <w:szCs w:val="24"/>
          <w:lang w:val="ro-RO"/>
        </w:rPr>
        <w:t>– Direcția generală antifraudă fiscală - Structura Centrală</w:t>
      </w:r>
      <w:r>
        <w:rPr>
          <w:rFonts w:cs="Arial" w:ascii="Trebuchet MS" w:hAnsi="Trebuchet MS"/>
          <w:sz w:val="24"/>
          <w:szCs w:val="24"/>
          <w:lang w:val="ro-RO" w:eastAsia="zh-CN"/>
        </w:rPr>
        <w:t xml:space="preserve"> </w:t>
      </w:r>
      <w:r>
        <w:rPr>
          <w:rFonts w:eastAsia="Times New Roman" w:cs="Times New Roman" w:ascii="Trebuchet MS" w:hAnsi="Trebuchet MS"/>
          <w:sz w:val="24"/>
          <w:szCs w:val="24"/>
          <w:lang w:val="ro-RO"/>
        </w:rPr>
        <w:t>până pe data de 5 ale lunii următoare celei în care s-a efectuat achiziția, respectiv  livrarea.</w:t>
      </w:r>
    </w:p>
    <w:p>
      <w:pPr>
        <w:pStyle w:val="Normal"/>
        <w:spacing w:before="0" w:after="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(3) Anexa nr. 1,  Anexa nr. 2 și Anexa nr.3 fac parte integrantă din prezenta Anexă.</w:t>
      </w:r>
    </w:p>
    <w:p>
      <w:pPr>
        <w:pStyle w:val="Normal"/>
        <w:spacing w:lineRule="auto" w:line="240" w:before="0" w:after="0"/>
        <w:contextualSpacing/>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both"/>
        <w:rPr>
          <w:rFonts w:ascii="Trebuchet MS" w:hAnsi="Trebuchet MS" w:eastAsia="Times New Roman" w:cs="Times New Roman"/>
          <w:sz w:val="24"/>
          <w:szCs w:val="24"/>
          <w:highlight w:val="yellow"/>
          <w:lang w:val="ro-RO"/>
        </w:rPr>
      </w:pPr>
      <w:r>
        <w:rPr>
          <w:rFonts w:eastAsia="Times New Roman" w:cs="Times New Roman" w:ascii="Trebuchet MS" w:hAnsi="Trebuchet MS"/>
          <w:sz w:val="24"/>
          <w:szCs w:val="24"/>
          <w:lang w:val="ro-RO"/>
        </w:rPr>
        <w:t>6.   Pentru destinatarii înregistrați care prezintă risc fiscal ridicat vor fi introduse măsuri de supraveghere în sistemul EMCS-RO-Riscuri.</w:t>
      </w:r>
    </w:p>
    <w:p>
      <w:pPr>
        <w:pStyle w:val="Normal"/>
        <w:spacing w:lineRule="auto" w:line="240" w:before="0" w:after="0"/>
        <w:ind w:firstLine="567"/>
        <w:contextualSpacing/>
        <w:jc w:val="left"/>
        <w:rPr>
          <w:rFonts w:ascii="Trebuchet MS" w:hAnsi="Trebuchet MS" w:eastAsia="Times New Roman" w:cs="Times New Roman"/>
          <w:color w:val="C00000"/>
          <w:sz w:val="24"/>
          <w:szCs w:val="24"/>
          <w:lang w:val="ro-RO"/>
        </w:rPr>
      </w:pPr>
      <w:r>
        <w:rPr>
          <w:rFonts w:eastAsia="Times New Roman" w:cs="Times New Roman" w:ascii="Trebuchet MS" w:hAnsi="Trebuchet MS"/>
          <w:color w:val="C00000"/>
          <w:sz w:val="24"/>
          <w:szCs w:val="24"/>
          <w:lang w:val="ro-RO"/>
        </w:rPr>
      </w:r>
    </w:p>
    <w:p>
      <w:pPr>
        <w:pStyle w:val="Normal"/>
        <w:jc w:val="left"/>
        <w:rPr>
          <w:lang w:val="ro-RO"/>
        </w:rPr>
      </w:pPr>
      <w:r>
        <w:rPr>
          <w:lang w:val="ro-RO"/>
        </w:rPr>
      </w:r>
    </w:p>
    <w:p>
      <w:pPr>
        <w:pStyle w:val="Normal"/>
        <w:jc w:val="left"/>
        <w:rPr>
          <w:lang w:val="ro-RO"/>
        </w:rPr>
      </w:pPr>
      <w:r>
        <w:rPr>
          <w:lang w:val="ro-RO"/>
        </w:rPr>
      </w:r>
    </w:p>
    <w:p>
      <w:pPr>
        <w:pStyle w:val="Normal"/>
        <w:jc w:val="left"/>
        <w:rPr>
          <w:lang w:val="ro-RO"/>
        </w:rPr>
      </w:pPr>
      <w:r>
        <w:rPr>
          <w:lang w:val="ro-RO"/>
        </w:rPr>
      </w:r>
    </w:p>
    <w:p>
      <w:pPr>
        <w:pStyle w:val="Normal"/>
        <w:jc w:val="left"/>
        <w:rPr>
          <w:lang w:val="ro-RO"/>
        </w:rPr>
      </w:pPr>
      <w:r>
        <w:rPr>
          <w:lang w:val="ro-RO"/>
        </w:rPr>
      </w:r>
    </w:p>
    <w:p>
      <w:pPr>
        <w:pStyle w:val="Normal"/>
        <w:jc w:val="left"/>
        <w:rPr>
          <w:lang w:val="ro-RO"/>
        </w:rPr>
      </w:pPr>
      <w:r>
        <w:rPr>
          <w:lang w:val="ro-RO"/>
        </w:rPr>
      </w:r>
    </w:p>
    <w:p>
      <w:pPr>
        <w:pStyle w:val="Normal"/>
        <w:jc w:val="left"/>
        <w:rPr>
          <w:lang w:val="ro-RO"/>
        </w:rPr>
      </w:pPr>
      <w:r>
        <w:rPr>
          <w:lang w:val="ro-RO"/>
        </w:rPr>
      </w:r>
    </w:p>
    <w:p>
      <w:pPr>
        <w:pStyle w:val="Normal"/>
        <w:jc w:val="left"/>
        <w:rPr>
          <w:lang w:val="ro-RO"/>
        </w:rPr>
      </w:pPr>
      <w:r>
        <w:rPr>
          <w:lang w:val="ro-RO"/>
        </w:rPr>
      </w:r>
    </w:p>
    <w:p>
      <w:pPr>
        <w:pStyle w:val="Normal"/>
        <w:jc w:val="left"/>
        <w:rPr>
          <w:lang w:val="ro-RO"/>
        </w:rPr>
      </w:pPr>
      <w:r>
        <w:rPr>
          <w:lang w:val="ro-RO"/>
        </w:rPr>
      </w:r>
    </w:p>
    <w:p>
      <w:pPr>
        <w:pStyle w:val="Normal"/>
        <w:jc w:val="left"/>
        <w:rPr>
          <w:lang w:val="ro-RO"/>
        </w:rPr>
      </w:pPr>
      <w:r>
        <w:rPr>
          <w:lang w:val="ro-RO"/>
        </w:rPr>
      </w:r>
    </w:p>
    <w:p>
      <w:pPr>
        <w:pStyle w:val="Normal"/>
        <w:jc w:val="left"/>
        <w:rPr>
          <w:lang w:val="ro-RO"/>
        </w:rPr>
      </w:pPr>
      <w:r>
        <w:rPr>
          <w:lang w:val="ro-RO"/>
        </w:rPr>
      </w:r>
    </w:p>
    <w:p>
      <w:pPr>
        <w:pStyle w:val="Normal"/>
        <w:jc w:val="left"/>
        <w:rPr>
          <w:rFonts w:ascii="Trebuchet MS" w:hAnsi="Trebuchet MS" w:cs="Trebuchet MS"/>
          <w:sz w:val="24"/>
          <w:szCs w:val="24"/>
          <w:lang w:val="ro-RO"/>
        </w:rPr>
      </w:pPr>
      <w:r>
        <w:rPr>
          <w:rFonts w:cs="Trebuchet MS" w:ascii="Trebuchet MS" w:hAnsi="Trebuchet MS"/>
          <w:sz w:val="24"/>
          <w:szCs w:val="24"/>
          <w:lang w:val="ro-RO"/>
        </w:rPr>
        <w:t>ANEXA nr.1</w:t>
      </w:r>
    </w:p>
    <w:tbl>
      <w:tblPr>
        <w:tblStyle w:val="15"/>
        <w:tblpPr w:vertAnchor="text" w:horzAnchor="page" w:leftFromText="180" w:rightFromText="180" w:tblpX="1400" w:tblpY="709"/>
        <w:tblW w:w="9920" w:type="dxa"/>
        <w:jc w:val="left"/>
        <w:tblInd w:w="108" w:type="dxa"/>
        <w:tblLayout w:type="fixed"/>
        <w:tblCellMar>
          <w:top w:w="0" w:type="dxa"/>
          <w:left w:w="108" w:type="dxa"/>
          <w:bottom w:w="0" w:type="dxa"/>
          <w:right w:w="108" w:type="dxa"/>
        </w:tblCellMar>
      </w:tblPr>
      <w:tblGrid>
        <w:gridCol w:w="552"/>
        <w:gridCol w:w="1652"/>
        <w:gridCol w:w="963"/>
        <w:gridCol w:w="1242"/>
        <w:gridCol w:w="1101"/>
        <w:gridCol w:w="1102"/>
        <w:gridCol w:w="1102"/>
        <w:gridCol w:w="1103"/>
        <w:gridCol w:w="1102"/>
      </w:tblGrid>
      <w:tr>
        <w:trPr>
          <w:trHeight w:val="399" w:hRule="atLeast"/>
        </w:trPr>
        <w:tc>
          <w:tcPr>
            <w:tcW w:w="552" w:type="dxa"/>
            <w:vMerge w:val="restart"/>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Ne.crt</w:t>
            </w:r>
          </w:p>
        </w:tc>
        <w:tc>
          <w:tcPr>
            <w:tcW w:w="1652" w:type="dxa"/>
            <w:vMerge w:val="restart"/>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Denumire operator economic</w:t>
            </w:r>
          </w:p>
        </w:tc>
        <w:tc>
          <w:tcPr>
            <w:tcW w:w="963" w:type="dxa"/>
            <w:vMerge w:val="restart"/>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CIF</w:t>
            </w:r>
          </w:p>
        </w:tc>
        <w:tc>
          <w:tcPr>
            <w:tcW w:w="1242" w:type="dxa"/>
            <w:vMerge w:val="restart"/>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Cod IBAN beneficiar sau simbol cont</w:t>
            </w:r>
          </w:p>
        </w:tc>
        <w:tc>
          <w:tcPr>
            <w:tcW w:w="1101" w:type="dxa"/>
            <w:vMerge w:val="restart"/>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Nr./data document de plată</w:t>
            </w:r>
          </w:p>
        </w:tc>
        <w:tc>
          <w:tcPr>
            <w:tcW w:w="1102" w:type="dxa"/>
            <w:vMerge w:val="restart"/>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Suma (lei)</w:t>
            </w:r>
          </w:p>
        </w:tc>
        <w:tc>
          <w:tcPr>
            <w:tcW w:w="3307" w:type="dxa"/>
            <w:gridSpan w:val="3"/>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Ca urmare a verificării efectuate</w:t>
            </w:r>
          </w:p>
        </w:tc>
      </w:tr>
      <w:tr>
        <w:trPr>
          <w:trHeight w:val="627" w:hRule="atLeast"/>
        </w:trPr>
        <w:tc>
          <w:tcPr>
            <w:tcW w:w="552" w:type="dxa"/>
            <w:vMerge w:val="continue"/>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vMerge w:val="continue"/>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vMerge w:val="continue"/>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vMerge w:val="continue"/>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vMerge w:val="continue"/>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vMerge w:val="continue"/>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Confirmăm încasarea sumei</w:t>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Nu confirmăm încasarea sumei</w:t>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t>Observații</w:t>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39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r>
        <w:trPr>
          <w:trHeight w:val="409" w:hRule="atLeast"/>
        </w:trPr>
        <w:tc>
          <w:tcPr>
            <w:tcW w:w="5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65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96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24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1"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3"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c>
          <w:tcPr>
            <w:tcW w:w="1102" w:type="dxa"/>
            <w:tcBorders/>
          </w:tcPr>
          <w:p>
            <w:pPr>
              <w:pStyle w:val="Normal"/>
              <w:widowControl w:val="false"/>
              <w:spacing w:before="0" w:after="160"/>
              <w:jc w:val="left"/>
              <w:rPr>
                <w:rFonts w:ascii="Trebuchet MS" w:hAnsi="Trebuchet MS" w:cs="Trebuchet MS"/>
                <w:position w:val="0"/>
                <w:sz w:val="18"/>
                <w:sz w:val="18"/>
                <w:szCs w:val="18"/>
                <w:vertAlign w:val="baseline"/>
                <w:lang w:val="ro-RO"/>
              </w:rPr>
            </w:pPr>
            <w:r>
              <w:rPr>
                <w:rFonts w:cs="Trebuchet MS" w:ascii="Trebuchet MS" w:hAnsi="Trebuchet MS"/>
                <w:position w:val="0"/>
                <w:sz w:val="18"/>
                <w:sz w:val="18"/>
                <w:szCs w:val="18"/>
                <w:vertAlign w:val="baseline"/>
                <w:lang w:val="ro-RO"/>
              </w:rPr>
            </w:r>
          </w:p>
        </w:tc>
      </w:tr>
    </w:tbl>
    <w:p>
      <w:pPr>
        <w:pStyle w:val="Normal"/>
        <w:jc w:val="left"/>
        <w:rPr>
          <w:rFonts w:ascii="Trebuchet MS" w:hAnsi="Trebuchet MS" w:cs="Trebuchet MS"/>
          <w:lang w:val="ro-RO"/>
        </w:rPr>
      </w:pPr>
      <w:r>
        <w:rPr>
          <w:rFonts w:cs="Trebuchet MS" w:ascii="Trebuchet MS" w:hAnsi="Trebuchet MS"/>
          <w:lang w:val="ro-RO"/>
        </w:rPr>
      </w:r>
    </w:p>
    <w:p>
      <w:pPr>
        <w:pStyle w:val="Normal"/>
        <w:jc w:val="left"/>
        <w:rPr>
          <w:rFonts w:ascii="Trebuchet MS" w:hAnsi="Trebuchet MS" w:cs="Trebuchet MS"/>
          <w:lang w:val="ro-RO"/>
        </w:rPr>
      </w:pPr>
      <w:r>
        <w:rPr>
          <w:rFonts w:cs="Trebuchet MS" w:ascii="Trebuchet MS" w:hAnsi="Trebuchet MS"/>
          <w:lang w:val="ro-RO"/>
        </w:rPr>
      </w:r>
    </w:p>
    <w:p>
      <w:pPr>
        <w:pStyle w:val="Normal"/>
        <w:jc w:val="left"/>
        <w:rPr>
          <w:rFonts w:ascii="Trebuchet MS" w:hAnsi="Trebuchet MS" w:cs="Trebuchet MS"/>
          <w:lang w:val="ro-RO"/>
        </w:rPr>
      </w:pPr>
      <w:r>
        <w:rPr>
          <w:rFonts w:cs="Trebuchet MS" w:ascii="Trebuchet MS" w:hAnsi="Trebuchet MS"/>
          <w:lang w:val="ro-RO"/>
        </w:rPr>
      </w:r>
    </w:p>
    <w:p>
      <w:pPr>
        <w:pStyle w:val="Normal"/>
        <w:jc w:val="left"/>
        <w:rPr>
          <w:rFonts w:ascii="Trebuchet MS" w:hAnsi="Trebuchet MS" w:cs="Trebuchet MS"/>
          <w:lang w:val="ro-RO"/>
        </w:rPr>
      </w:pPr>
      <w:r>
        <w:rPr>
          <w:rFonts w:cs="Trebuchet MS" w:ascii="Trebuchet MS" w:hAnsi="Trebuchet MS"/>
          <w:lang w:val="ro-RO"/>
        </w:rPr>
      </w:r>
    </w:p>
    <w:p>
      <w:pPr>
        <w:pStyle w:val="Normal"/>
        <w:jc w:val="left"/>
        <w:rPr>
          <w:rFonts w:ascii="Trebuchet MS" w:hAnsi="Trebuchet MS" w:cs="Trebuchet MS"/>
          <w:lang w:val="ro-RO"/>
        </w:rPr>
      </w:pPr>
      <w:r>
        <w:rPr>
          <w:rFonts w:cs="Trebuchet MS" w:ascii="Trebuchet MS" w:hAnsi="Trebuchet MS"/>
          <w:lang w:val="ro-RO"/>
        </w:rPr>
      </w:r>
    </w:p>
    <w:p>
      <w:pPr>
        <w:pStyle w:val="Normal"/>
        <w:jc w:val="left"/>
        <w:rPr>
          <w:rFonts w:ascii="Trebuchet MS" w:hAnsi="Trebuchet MS" w:cs="Trebuchet MS"/>
          <w:lang w:val="ro-RO"/>
        </w:rPr>
      </w:pPr>
      <w:r>
        <w:rPr>
          <w:rFonts w:cs="Trebuchet MS" w:ascii="Trebuchet MS" w:hAnsi="Trebuchet MS"/>
          <w:lang w:val="ro-RO"/>
        </w:rPr>
        <w:t>Notă: Coloanele 6-8 se completează de către unitatea trezoreriei statului</w:t>
      </w:r>
    </w:p>
    <w:p>
      <w:pPr>
        <w:pStyle w:val="Normal"/>
        <w:jc w:val="left"/>
        <w:rPr>
          <w:lang w:val="ro-RO"/>
        </w:rPr>
      </w:pPr>
      <w:r>
        <w:rPr>
          <w:lang w:val="ro-RO"/>
        </w:rPr>
      </w:r>
    </w:p>
    <w:p>
      <w:pPr>
        <w:pStyle w:val="Normal"/>
        <w:jc w:val="left"/>
        <w:rPr>
          <w:lang w:val="ro-RO"/>
        </w:rPr>
      </w:pPr>
      <w:r>
        <w:rPr>
          <w:lang w:val="ro-RO"/>
        </w:rPr>
      </w:r>
    </w:p>
    <w:p>
      <w:pPr>
        <w:pStyle w:val="Normal"/>
        <w:jc w:val="left"/>
        <w:rPr>
          <w:lang w:val="ro-RO"/>
        </w:rPr>
      </w:pPr>
      <w:r>
        <w:rPr>
          <w:lang w:val="ro-RO"/>
        </w:rPr>
      </w:r>
    </w:p>
    <w:p>
      <w:pPr>
        <w:sectPr>
          <w:headerReference w:type="default" r:id="rId2"/>
          <w:footerReference w:type="default" r:id="rId3"/>
          <w:type w:val="nextPage"/>
          <w:pgSz w:w="11906" w:h="16838"/>
          <w:pgMar w:left="2268" w:right="991" w:gutter="0" w:header="0" w:top="851" w:footer="737" w:bottom="2410"/>
          <w:pgNumType w:fmt="decimal"/>
          <w:formProt w:val="false"/>
          <w:textDirection w:val="lrTb"/>
          <w:docGrid w:type="default" w:linePitch="360" w:charSpace="4096"/>
        </w:sectPr>
        <w:pStyle w:val="Normal"/>
        <w:jc w:val="left"/>
        <w:rPr>
          <w:lang w:val="ro-RO"/>
        </w:rPr>
      </w:pPr>
      <w:r>
        <w:rPr>
          <w:lang w:val="ro-RO"/>
        </w:rPr>
      </w:r>
    </w:p>
    <w:p>
      <w:pPr>
        <w:pStyle w:val="Normal"/>
        <w:spacing w:lineRule="auto" w:line="240" w:before="0" w:after="0"/>
        <w:contextualSpacing/>
        <w:jc w:val="righ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Anexa nr. 2</w:t>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tbl>
      <w:tblPr>
        <w:tblStyle w:val="14"/>
        <w:tblW w:w="13300" w:type="dxa"/>
        <w:jc w:val="left"/>
        <w:tblInd w:w="109" w:type="dxa"/>
        <w:tblLayout w:type="fixed"/>
        <w:tblCellMar>
          <w:top w:w="0" w:type="dxa"/>
          <w:left w:w="108" w:type="dxa"/>
          <w:bottom w:w="0" w:type="dxa"/>
          <w:right w:w="108" w:type="dxa"/>
        </w:tblCellMar>
      </w:tblPr>
      <w:tblGrid>
        <w:gridCol w:w="1009"/>
        <w:gridCol w:w="1651"/>
        <w:gridCol w:w="1230"/>
        <w:gridCol w:w="1469"/>
        <w:gridCol w:w="1611"/>
        <w:gridCol w:w="2229"/>
        <w:gridCol w:w="1870"/>
        <w:gridCol w:w="2229"/>
      </w:tblGrid>
      <w:tr>
        <w:trPr>
          <w:trHeight w:val="939" w:hRule="atLeast"/>
        </w:trPr>
        <w:tc>
          <w:tcPr>
            <w:tcW w:w="13298"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b/>
                <w:bCs/>
                <w:color w:val="000000"/>
                <w:sz w:val="20"/>
                <w:szCs w:val="20"/>
                <w:lang w:val="ro-RO"/>
              </w:rPr>
              <w:t>DESTINATAR INREGISTRAT - PRODUSE ENERGETICE</w:t>
            </w:r>
            <w:r>
              <w:rPr>
                <w:rFonts w:eastAsia="Times New Roman" w:cs="Liberation Sans" w:ascii="Trebuchet MS" w:hAnsi="Trebuchet MS"/>
                <w:color w:val="000000"/>
                <w:sz w:val="20"/>
                <w:szCs w:val="20"/>
                <w:lang w:val="ro-RO"/>
              </w:rPr>
              <w:t xml:space="preserve"> (BENZINĂ, MOTORINĂ</w:t>
            </w:r>
            <w:r>
              <w:rPr>
                <w:rFonts w:eastAsia="Times New Roman" w:cs="Liberation Sans" w:ascii="Trebuchet MS" w:hAnsi="Trebuchet MS"/>
                <w:sz w:val="20"/>
                <w:szCs w:val="20"/>
                <w:lang w:val="ro-RO"/>
              </w:rPr>
              <w:t xml:space="preserve">, PĂCURĂ, </w:t>
            </w:r>
            <w:r>
              <w:rPr>
                <w:rFonts w:eastAsia="Times New Roman" w:cs="Liberation Sans" w:ascii="Trebuchet MS" w:hAnsi="Trebuchet MS"/>
                <w:color w:val="000000"/>
                <w:sz w:val="20"/>
                <w:szCs w:val="20"/>
                <w:lang w:val="ro-RO"/>
              </w:rPr>
              <w:t>GAZ PETROLIER LICHEFIAT, PETROL LAMPANT)</w:t>
            </w:r>
          </w:p>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sz w:val="20"/>
                <w:szCs w:val="20"/>
                <w:lang w:val="ro-RO"/>
              </w:rPr>
              <w:t>Denumire societate ____________________</w:t>
            </w:r>
          </w:p>
        </w:tc>
      </w:tr>
      <w:tr>
        <w:trPr>
          <w:trHeight w:val="521" w:hRule="atLeast"/>
        </w:trPr>
        <w:tc>
          <w:tcPr>
            <w:tcW w:w="13298"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SITUAȚIA ACHIZIȚIILOR ÎN LUNA ____________AN__________</w:t>
            </w:r>
          </w:p>
        </w:tc>
      </w:tr>
      <w:tr>
        <w:trPr>
          <w:trHeight w:val="456" w:hRule="atLeast"/>
        </w:trPr>
        <w:tc>
          <w:tcPr>
            <w:tcW w:w="100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NR. CRT.</w:t>
            </w:r>
          </w:p>
        </w:tc>
        <w:tc>
          <w:tcPr>
            <w:tcW w:w="165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4"/>
                <w:szCs w:val="24"/>
                <w:lang w:val="ro-RO"/>
              </w:rPr>
            </w:pPr>
            <w:r>
              <w:rPr>
                <w:rFonts w:eastAsia="Times New Roman" w:cs="Liberation Sans" w:ascii="Trebuchet MS" w:hAnsi="Trebuchet MS"/>
                <w:sz w:val="24"/>
                <w:szCs w:val="24"/>
                <w:lang w:val="ro-RO"/>
              </w:rPr>
              <w:t>CUI</w:t>
            </w:r>
          </w:p>
        </w:tc>
        <w:tc>
          <w:tcPr>
            <w:tcW w:w="4310" w:type="dxa"/>
            <w:gridSpan w:val="3"/>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4"/>
                <w:szCs w:val="24"/>
                <w:lang w:val="ro-RO"/>
              </w:rPr>
            </w:pPr>
            <w:r>
              <w:rPr>
                <w:rFonts w:eastAsia="Times New Roman" w:cs="Liberation Sans" w:ascii="Trebuchet MS" w:hAnsi="Trebuchet MS"/>
                <w:sz w:val="24"/>
                <w:szCs w:val="24"/>
                <w:lang w:val="ro-RO"/>
              </w:rPr>
              <w:t>PRODUS</w:t>
            </w:r>
          </w:p>
        </w:tc>
        <w:tc>
          <w:tcPr>
            <w:tcW w:w="222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Cantitate</w:t>
            </w:r>
          </w:p>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(TONA)</w:t>
            </w:r>
          </w:p>
        </w:tc>
        <w:tc>
          <w:tcPr>
            <w:tcW w:w="1870" w:type="dxa"/>
            <w:vMerge w:val="restart"/>
            <w:tcBorders>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LITRI 15 grade</w:t>
            </w:r>
          </w:p>
        </w:tc>
        <w:tc>
          <w:tcPr>
            <w:tcW w:w="222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CALCUL ACCIZE (LEI / U.M.)</w:t>
            </w:r>
          </w:p>
        </w:tc>
      </w:tr>
      <w:tr>
        <w:trPr>
          <w:trHeight w:val="714" w:hRule="atLeast"/>
        </w:trPr>
        <w:tc>
          <w:tcPr>
            <w:tcW w:w="100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65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4"/>
                <w:szCs w:val="24"/>
                <w:lang w:val="ro-RO"/>
              </w:rPr>
            </w:pPr>
            <w:r>
              <w:rPr>
                <w:rFonts w:eastAsia="Times New Roman" w:cs="Liberation Sans" w:ascii="Trebuchet MS" w:hAnsi="Trebuchet MS"/>
                <w:sz w:val="24"/>
                <w:szCs w:val="24"/>
                <w:lang w:val="ro-RO"/>
              </w:rPr>
            </w:r>
          </w:p>
        </w:tc>
        <w:tc>
          <w:tcPr>
            <w:tcW w:w="1230"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Denumire</w:t>
            </w:r>
          </w:p>
        </w:tc>
        <w:tc>
          <w:tcPr>
            <w:tcW w:w="146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Cod produs accizabil</w:t>
            </w:r>
          </w:p>
        </w:tc>
        <w:tc>
          <w:tcPr>
            <w:tcW w:w="161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Cod NC</w:t>
            </w:r>
          </w:p>
        </w:tc>
        <w:tc>
          <w:tcPr>
            <w:tcW w:w="222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70" w:type="dxa"/>
            <w:vMerge w:val="continue"/>
            <w:tcBorders>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222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548" w:hRule="atLeast"/>
        </w:trPr>
        <w:tc>
          <w:tcPr>
            <w:tcW w:w="10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1.</w:t>
            </w:r>
          </w:p>
        </w:tc>
        <w:tc>
          <w:tcPr>
            <w:tcW w:w="16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7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503" w:hRule="atLeast"/>
        </w:trPr>
        <w:tc>
          <w:tcPr>
            <w:tcW w:w="10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2.</w:t>
            </w:r>
          </w:p>
        </w:tc>
        <w:tc>
          <w:tcPr>
            <w:tcW w:w="16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7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440" w:hRule="atLeast"/>
        </w:trPr>
        <w:tc>
          <w:tcPr>
            <w:tcW w:w="10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3.</w:t>
            </w:r>
          </w:p>
        </w:tc>
        <w:tc>
          <w:tcPr>
            <w:tcW w:w="16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7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440" w:hRule="atLeast"/>
        </w:trPr>
        <w:tc>
          <w:tcPr>
            <w:tcW w:w="10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w:t>
            </w:r>
            <w:r>
              <w:rPr>
                <w:rFonts w:eastAsia="Times New Roman" w:cs="Liberation Sans" w:ascii="Trebuchet MS" w:hAnsi="Trebuchet MS"/>
                <w:color w:val="000000"/>
                <w:sz w:val="24"/>
                <w:szCs w:val="24"/>
                <w:lang w:val="ro-RO"/>
              </w:rPr>
              <w:t>.</w:t>
            </w:r>
          </w:p>
        </w:tc>
        <w:tc>
          <w:tcPr>
            <w:tcW w:w="16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7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714" w:hRule="atLeast"/>
        </w:trPr>
        <w:tc>
          <w:tcPr>
            <w:tcW w:w="10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TOTAL</w:t>
            </w:r>
          </w:p>
        </w:tc>
        <w:tc>
          <w:tcPr>
            <w:tcW w:w="16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7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bl>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tbl>
      <w:tblPr>
        <w:tblStyle w:val="14"/>
        <w:tblpPr w:bottomFromText="0" w:horzAnchor="margin" w:leftFromText="180" w:rightFromText="180" w:tblpX="0" w:tblpXSpec="left" w:tblpY="2702" w:topFromText="0" w:vertAnchor="page"/>
        <w:tblW w:w="13318" w:type="dxa"/>
        <w:jc w:val="left"/>
        <w:tblInd w:w="108" w:type="dxa"/>
        <w:tblLayout w:type="fixed"/>
        <w:tblCellMar>
          <w:top w:w="0" w:type="dxa"/>
          <w:left w:w="108" w:type="dxa"/>
          <w:bottom w:w="0" w:type="dxa"/>
          <w:right w:w="108" w:type="dxa"/>
        </w:tblCellMar>
      </w:tblPr>
      <w:tblGrid>
        <w:gridCol w:w="920"/>
        <w:gridCol w:w="1350"/>
        <w:gridCol w:w="1100"/>
        <w:gridCol w:w="1371"/>
        <w:gridCol w:w="760"/>
        <w:gridCol w:w="1910"/>
        <w:gridCol w:w="1320"/>
        <w:gridCol w:w="1349"/>
        <w:gridCol w:w="1430"/>
        <w:gridCol w:w="1806"/>
      </w:tblGrid>
      <w:tr>
        <w:trPr>
          <w:trHeight w:val="654" w:hRule="atLeast"/>
        </w:trPr>
        <w:tc>
          <w:tcPr>
            <w:tcW w:w="13316" w:type="dxa"/>
            <w:gridSpan w:val="10"/>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b/>
                <w:bCs/>
                <w:color w:val="000000"/>
                <w:sz w:val="20"/>
                <w:szCs w:val="20"/>
                <w:lang w:val="ro-RO"/>
              </w:rPr>
              <w:t>DESTINATAR INREGISTRAT - ALCOOL ȘI BĂUTURI ALCOOLICE</w:t>
            </w:r>
          </w:p>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w:t>
            </w:r>
            <w:r>
              <w:rPr>
                <w:rFonts w:eastAsia="Times New Roman" w:cs="Liberation Sans" w:ascii="Trebuchet MS" w:hAnsi="Trebuchet MS"/>
                <w:sz w:val="20"/>
                <w:szCs w:val="20"/>
                <w:lang w:val="ro-RO"/>
              </w:rPr>
              <w:t>BERE, VINURI, BĂUTURI FERMENTATE</w:t>
            </w:r>
            <w:r>
              <w:rPr>
                <w:rFonts w:eastAsia="Times New Roman" w:cs="Liberation Sans" w:ascii="Trebuchet MS" w:hAnsi="Trebuchet MS"/>
                <w:color w:val="000000"/>
                <w:sz w:val="20"/>
                <w:szCs w:val="20"/>
                <w:lang w:val="ro-RO"/>
              </w:rPr>
              <w:t>, ALTELE DECÂT BERE ȘI VINURI,  PRODUSE INTERMEDIARE, ALCOOL ETILIC)</w:t>
            </w:r>
          </w:p>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Denumire societate _______________</w:t>
            </w:r>
          </w:p>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521" w:hRule="atLeast"/>
        </w:trPr>
        <w:tc>
          <w:tcPr>
            <w:tcW w:w="13316" w:type="dxa"/>
            <w:gridSpan w:val="10"/>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SITUAȚIA ACHIZITIILOR ÎN LUNA ____________AN________</w:t>
            </w:r>
          </w:p>
        </w:tc>
      </w:tr>
      <w:tr>
        <w:trPr>
          <w:trHeight w:val="784" w:hRule="atLeast"/>
        </w:trPr>
        <w:tc>
          <w:tcPr>
            <w:tcW w:w="92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NR. CRT.</w:t>
            </w:r>
          </w:p>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5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CUI</w:t>
            </w:r>
          </w:p>
        </w:tc>
        <w:tc>
          <w:tcPr>
            <w:tcW w:w="3231" w:type="dxa"/>
            <w:gridSpan w:val="3"/>
            <w:tcBorders>
              <w:left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PRODUS</w:t>
            </w:r>
          </w:p>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tc>
        <w:tc>
          <w:tcPr>
            <w:tcW w:w="191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Concentratie grade alcoolice / Grad PLATO</w:t>
            </w:r>
          </w:p>
        </w:tc>
        <w:tc>
          <w:tcPr>
            <w:tcW w:w="2669" w:type="dxa"/>
            <w:gridSpan w:val="2"/>
            <w:tcBorders>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Recipienti</w:t>
            </w:r>
          </w:p>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tc>
        <w:tc>
          <w:tcPr>
            <w:tcW w:w="143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Cantitate (HL)</w:t>
            </w:r>
          </w:p>
        </w:tc>
        <w:tc>
          <w:tcPr>
            <w:tcW w:w="1806" w:type="dxa"/>
            <w:vMerge w:val="restart"/>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CALCUL ACCIZE            (LEI/U.M.)</w:t>
            </w:r>
          </w:p>
        </w:tc>
      </w:tr>
      <w:tr>
        <w:trPr>
          <w:trHeight w:val="414" w:hRule="atLeast"/>
        </w:trPr>
        <w:tc>
          <w:tcPr>
            <w:tcW w:w="92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5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Denumire</w:t>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Cod produs accizabil</w:t>
            </w:r>
          </w:p>
        </w:tc>
        <w:tc>
          <w:tcPr>
            <w:tcW w:w="7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Cod NC</w:t>
            </w:r>
          </w:p>
        </w:tc>
        <w:tc>
          <w:tcPr>
            <w:tcW w:w="191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tc>
        <w:tc>
          <w:tcPr>
            <w:tcW w:w="132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Capacitate</w:t>
            </w:r>
          </w:p>
        </w:tc>
        <w:tc>
          <w:tcPr>
            <w:tcW w:w="1349"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false"/>
              <w:keepLines w:val="false"/>
              <w:widowControl w:val="false"/>
              <w:overflowPunct w:val="false"/>
              <w:bidi w:val="0"/>
              <w:snapToGrid w:val="true"/>
              <w:spacing w:lineRule="auto" w:line="240" w:before="0" w:after="0"/>
              <w:ind w:firstLine="200"/>
              <w:jc w:val="left"/>
              <w:textAlignment w:val="auto"/>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Numar</w:t>
            </w:r>
          </w:p>
        </w:tc>
        <w:tc>
          <w:tcPr>
            <w:tcW w:w="143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4"/>
                <w:szCs w:val="24"/>
                <w:lang w:val="ro-RO"/>
              </w:rPr>
            </w:pPr>
            <w:r>
              <w:rPr>
                <w:rFonts w:eastAsia="Times New Roman" w:cs="Liberation Sans" w:ascii="Trebuchet MS" w:hAnsi="Trebuchet MS"/>
                <w:sz w:val="24"/>
                <w:szCs w:val="24"/>
                <w:lang w:val="ro-RO"/>
              </w:rPr>
            </w:r>
          </w:p>
        </w:tc>
        <w:tc>
          <w:tcPr>
            <w:tcW w:w="1806" w:type="dxa"/>
            <w:vMerge w:val="continue"/>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rebuchet MS" w:hAnsi="Trebuchet MS" w:eastAsia="Times New Roman" w:cs="Liberation Sans"/>
                <w:sz w:val="24"/>
                <w:szCs w:val="24"/>
                <w:lang w:val="ro-RO"/>
              </w:rPr>
            </w:pPr>
            <w:r>
              <w:rPr>
                <w:rFonts w:eastAsia="Times New Roman" w:cs="Liberation Sans" w:ascii="Trebuchet MS" w:hAnsi="Trebuchet MS"/>
                <w:sz w:val="24"/>
                <w:szCs w:val="24"/>
                <w:lang w:val="ro-RO"/>
              </w:rPr>
            </w:r>
          </w:p>
        </w:tc>
      </w:tr>
      <w:tr>
        <w:trPr>
          <w:trHeight w:val="503"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1.</w:t>
            </w:r>
          </w:p>
        </w:tc>
        <w:tc>
          <w:tcPr>
            <w:tcW w:w="13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tc>
        <w:tc>
          <w:tcPr>
            <w:tcW w:w="7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tc>
        <w:tc>
          <w:tcPr>
            <w:tcW w:w="19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tc>
        <w:tc>
          <w:tcPr>
            <w:tcW w:w="132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r>
          </w:p>
        </w:tc>
        <w:tc>
          <w:tcPr>
            <w:tcW w:w="13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left"/>
              <w:rPr>
                <w:rFonts w:ascii="Trebuchet MS" w:hAnsi="Trebuchet MS" w:eastAsia="Times New Roman" w:cs="Liberation Sans"/>
                <w:sz w:val="24"/>
                <w:szCs w:val="24"/>
                <w:lang w:val="ro-RO"/>
              </w:rPr>
            </w:pPr>
            <w:r>
              <w:rPr>
                <w:rFonts w:eastAsia="Times New Roman" w:cs="Liberation Sans" w:ascii="Trebuchet MS" w:hAnsi="Trebuchet MS"/>
                <w:sz w:val="24"/>
                <w:szCs w:val="24"/>
                <w:lang w:val="ro-RO"/>
              </w:rPr>
            </w:r>
          </w:p>
        </w:tc>
        <w:tc>
          <w:tcPr>
            <w:tcW w:w="1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4"/>
                <w:szCs w:val="24"/>
                <w:lang w:val="ro-RO"/>
              </w:rPr>
            </w:pPr>
            <w:r>
              <w:rPr>
                <w:rFonts w:eastAsia="Times New Roman" w:cs="Liberation Sans" w:ascii="Trebuchet MS" w:hAnsi="Trebuchet MS"/>
                <w:sz w:val="24"/>
                <w:szCs w:val="24"/>
                <w:lang w:val="ro-RO"/>
              </w:rPr>
            </w:r>
          </w:p>
        </w:tc>
        <w:tc>
          <w:tcPr>
            <w:tcW w:w="1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rebuchet MS" w:hAnsi="Trebuchet MS" w:eastAsia="Times New Roman" w:cs="Liberation Sans"/>
                <w:sz w:val="24"/>
                <w:szCs w:val="24"/>
                <w:lang w:val="ro-RO"/>
              </w:rPr>
            </w:pPr>
            <w:r>
              <w:rPr>
                <w:rFonts w:eastAsia="Times New Roman" w:cs="Liberation Sans" w:ascii="Trebuchet MS" w:hAnsi="Trebuchet MS"/>
                <w:sz w:val="24"/>
                <w:szCs w:val="24"/>
                <w:lang w:val="ro-RO"/>
              </w:rPr>
            </w:r>
          </w:p>
        </w:tc>
      </w:tr>
      <w:tr>
        <w:trPr>
          <w:trHeight w:val="440"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2.</w:t>
            </w:r>
          </w:p>
        </w:tc>
        <w:tc>
          <w:tcPr>
            <w:tcW w:w="13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7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9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2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440"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3.</w:t>
            </w:r>
          </w:p>
        </w:tc>
        <w:tc>
          <w:tcPr>
            <w:tcW w:w="13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7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9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2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714"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w:t>
            </w:r>
            <w:r>
              <w:rPr>
                <w:rFonts w:eastAsia="Times New Roman" w:cs="Liberation Sans" w:ascii="Trebuchet MS" w:hAnsi="Trebuchet MS"/>
                <w:color w:val="000000"/>
                <w:sz w:val="20"/>
                <w:szCs w:val="20"/>
                <w:lang w:val="ro-RO"/>
              </w:rPr>
              <w:t>.</w:t>
            </w:r>
          </w:p>
        </w:tc>
        <w:tc>
          <w:tcPr>
            <w:tcW w:w="13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7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9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2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714"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TOTAL</w:t>
            </w:r>
          </w:p>
        </w:tc>
        <w:tc>
          <w:tcPr>
            <w:tcW w:w="13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7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9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2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bl>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tbl>
      <w:tblPr>
        <w:tblStyle w:val="14"/>
        <w:tblpPr w:vertAnchor="text" w:horzAnchor="page" w:leftFromText="180" w:rightFromText="180" w:tblpX="2525" w:tblpY="195"/>
        <w:tblW w:w="13389" w:type="dxa"/>
        <w:jc w:val="left"/>
        <w:tblInd w:w="108" w:type="dxa"/>
        <w:tblLayout w:type="fixed"/>
        <w:tblCellMar>
          <w:top w:w="0" w:type="dxa"/>
          <w:left w:w="108" w:type="dxa"/>
          <w:bottom w:w="0" w:type="dxa"/>
          <w:right w:w="108" w:type="dxa"/>
        </w:tblCellMar>
      </w:tblPr>
      <w:tblGrid>
        <w:gridCol w:w="1064"/>
        <w:gridCol w:w="1380"/>
        <w:gridCol w:w="1081"/>
        <w:gridCol w:w="1309"/>
        <w:gridCol w:w="1130"/>
        <w:gridCol w:w="2694"/>
        <w:gridCol w:w="1680"/>
        <w:gridCol w:w="3049"/>
      </w:tblGrid>
      <w:tr>
        <w:trPr>
          <w:trHeight w:val="939" w:hRule="atLeast"/>
        </w:trPr>
        <w:tc>
          <w:tcPr>
            <w:tcW w:w="13387"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0"/>
                <w:szCs w:val="20"/>
                <w:lang w:val="ro-RO"/>
              </w:rPr>
            </w:pPr>
            <w:r>
              <w:rPr>
                <w:rFonts w:eastAsia="Times New Roman" w:cs="Liberation Sans" w:ascii="Trebuchet MS" w:hAnsi="Trebuchet MS"/>
                <w:b/>
                <w:bCs/>
                <w:color w:val="000000"/>
                <w:sz w:val="20"/>
                <w:szCs w:val="20"/>
                <w:lang w:val="ro-RO"/>
              </w:rPr>
              <w:t>DESTINATAR INREGISTRAT - TUTUN PRELUCRAT</w:t>
            </w:r>
            <w:r>
              <w:rPr>
                <w:rFonts w:eastAsia="Times New Roman" w:cs="Liberation Sans" w:ascii="Trebuchet MS" w:hAnsi="Trebuchet MS"/>
                <w:color w:val="000000"/>
                <w:sz w:val="20"/>
                <w:szCs w:val="20"/>
                <w:lang w:val="ro-RO"/>
              </w:rPr>
              <w:t xml:space="preserve"> (ȚIGARETE, ȚIGARI ȘI ȚIGARI DE FOI, TUTUN DE FUMAT FIN TĂIAT, DESTINAT RULARII ÎN ȚIGARETE, ALTE TUTUNURI DE FUMAT)</w:t>
            </w:r>
          </w:p>
          <w:p>
            <w:pPr>
              <w:pStyle w:val="Normal"/>
              <w:widowControl w:val="false"/>
              <w:spacing w:lineRule="auto" w:line="240" w:before="0" w:after="0"/>
              <w:jc w:val="left"/>
              <w:rPr>
                <w:rFonts w:ascii="Trebuchet MS" w:hAnsi="Trebuchet MS" w:eastAsia="Times New Roman" w:cs="Liberation Sans"/>
                <w:b/>
                <w:bCs/>
                <w:color w:val="000000"/>
                <w:sz w:val="24"/>
                <w:szCs w:val="24"/>
                <w:lang w:val="ro-RO"/>
              </w:rPr>
            </w:pPr>
            <w:r>
              <w:rPr>
                <w:rFonts w:eastAsia="Times New Roman" w:cs="Liberation Sans" w:ascii="Trebuchet MS" w:hAnsi="Trebuchet MS"/>
                <w:color w:val="000000"/>
                <w:sz w:val="20"/>
                <w:szCs w:val="20"/>
                <w:lang w:val="ro-RO"/>
              </w:rPr>
              <w:t>Denumire societate ___________________</w:t>
            </w:r>
          </w:p>
        </w:tc>
      </w:tr>
      <w:tr>
        <w:trPr>
          <w:trHeight w:val="521" w:hRule="atLeast"/>
        </w:trPr>
        <w:tc>
          <w:tcPr>
            <w:tcW w:w="13387"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SITUAȚIA ACHIZITIILOR ÎN LUNA ____________ AN___________</w:t>
            </w:r>
          </w:p>
        </w:tc>
      </w:tr>
      <w:tr>
        <w:trPr>
          <w:trHeight w:val="456" w:hRule="atLeast"/>
        </w:trPr>
        <w:tc>
          <w:tcPr>
            <w:tcW w:w="106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NR. CRT.</w:t>
            </w:r>
          </w:p>
        </w:tc>
        <w:tc>
          <w:tcPr>
            <w:tcW w:w="13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CUI</w:t>
            </w:r>
          </w:p>
        </w:tc>
        <w:tc>
          <w:tcPr>
            <w:tcW w:w="3520" w:type="dxa"/>
            <w:gridSpan w:val="3"/>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PRODUS</w:t>
            </w:r>
          </w:p>
        </w:tc>
        <w:tc>
          <w:tcPr>
            <w:tcW w:w="269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Cantitate</w:t>
            </w:r>
          </w:p>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(1000 tigarete/țigări)</w:t>
            </w:r>
          </w:p>
        </w:tc>
        <w:tc>
          <w:tcPr>
            <w:tcW w:w="1680" w:type="dxa"/>
            <w:vMerge w:val="restart"/>
            <w:tcBorders>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Kg</w:t>
            </w:r>
          </w:p>
        </w:tc>
        <w:tc>
          <w:tcPr>
            <w:tcW w:w="304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CALCUL ACCIZE            (LEI / U.M.)</w:t>
            </w:r>
          </w:p>
        </w:tc>
      </w:tr>
      <w:tr>
        <w:trPr>
          <w:trHeight w:val="714" w:hRule="atLeast"/>
        </w:trPr>
        <w:tc>
          <w:tcPr>
            <w:tcW w:w="106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3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0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Denumire</w:t>
            </w:r>
          </w:p>
        </w:tc>
        <w:tc>
          <w:tcPr>
            <w:tcW w:w="13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Cod produs accizabil</w:t>
            </w:r>
          </w:p>
        </w:tc>
        <w:tc>
          <w:tcPr>
            <w:tcW w:w="1130"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sz w:val="20"/>
                <w:szCs w:val="20"/>
                <w:lang w:val="ro-RO"/>
              </w:rPr>
            </w:pPr>
            <w:r>
              <w:rPr>
                <w:rFonts w:eastAsia="Times New Roman" w:cs="Liberation Sans" w:ascii="Trebuchet MS" w:hAnsi="Trebuchet MS"/>
                <w:sz w:val="20"/>
                <w:szCs w:val="20"/>
                <w:lang w:val="ro-RO"/>
              </w:rPr>
              <w:t>Cod NC</w:t>
            </w:r>
          </w:p>
        </w:tc>
        <w:tc>
          <w:tcPr>
            <w:tcW w:w="269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680" w:type="dxa"/>
            <w:vMerge w:val="continue"/>
            <w:tcBorders>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304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548" w:hRule="atLeast"/>
        </w:trPr>
        <w:tc>
          <w:tcPr>
            <w:tcW w:w="10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1.</w:t>
            </w:r>
          </w:p>
        </w:tc>
        <w:tc>
          <w:tcPr>
            <w:tcW w:w="1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0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3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68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30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503" w:hRule="atLeast"/>
        </w:trPr>
        <w:tc>
          <w:tcPr>
            <w:tcW w:w="10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2.</w:t>
            </w:r>
          </w:p>
        </w:tc>
        <w:tc>
          <w:tcPr>
            <w:tcW w:w="1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0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3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68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30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440" w:hRule="atLeast"/>
        </w:trPr>
        <w:tc>
          <w:tcPr>
            <w:tcW w:w="10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3.</w:t>
            </w:r>
          </w:p>
        </w:tc>
        <w:tc>
          <w:tcPr>
            <w:tcW w:w="1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0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3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68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30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440" w:hRule="atLeast"/>
        </w:trPr>
        <w:tc>
          <w:tcPr>
            <w:tcW w:w="10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w:t>
            </w:r>
            <w:r>
              <w:rPr>
                <w:rFonts w:eastAsia="Times New Roman" w:cs="Liberation Sans" w:ascii="Trebuchet MS" w:hAnsi="Trebuchet MS"/>
                <w:color w:val="000000"/>
                <w:sz w:val="24"/>
                <w:szCs w:val="24"/>
                <w:lang w:val="ro-RO"/>
              </w:rPr>
              <w:t>.</w:t>
            </w:r>
          </w:p>
        </w:tc>
        <w:tc>
          <w:tcPr>
            <w:tcW w:w="1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0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3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68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30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r>
        <w:trPr>
          <w:trHeight w:val="714" w:hRule="atLeast"/>
        </w:trPr>
        <w:tc>
          <w:tcPr>
            <w:tcW w:w="10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TOTAL</w:t>
            </w:r>
          </w:p>
        </w:tc>
        <w:tc>
          <w:tcPr>
            <w:tcW w:w="1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t>-</w:t>
            </w:r>
          </w:p>
        </w:tc>
        <w:tc>
          <w:tcPr>
            <w:tcW w:w="10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3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1680" w:type="dxa"/>
            <w:tcBorders>
              <w:top w:val="single" w:sz="4" w:space="0" w:color="000000"/>
              <w:bottom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c>
          <w:tcPr>
            <w:tcW w:w="30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left"/>
              <w:rPr>
                <w:rFonts w:ascii="Trebuchet MS" w:hAnsi="Trebuchet MS" w:eastAsia="Times New Roman" w:cs="Liberation Sans"/>
                <w:color w:val="000000"/>
                <w:sz w:val="24"/>
                <w:szCs w:val="24"/>
                <w:lang w:val="ro-RO"/>
              </w:rPr>
            </w:pPr>
            <w:r>
              <w:rPr>
                <w:rFonts w:eastAsia="Times New Roman" w:cs="Liberation Sans" w:ascii="Trebuchet MS" w:hAnsi="Trebuchet MS"/>
                <w:color w:val="000000"/>
                <w:sz w:val="24"/>
                <w:szCs w:val="24"/>
                <w:lang w:val="ro-RO"/>
              </w:rPr>
            </w:r>
          </w:p>
        </w:tc>
      </w:tr>
    </w:tbl>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lef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jc w:val="left"/>
        <w:rPr>
          <w:rFonts w:ascii="Trebuchet MS" w:hAnsi="Trebuchet MS"/>
          <w:sz w:val="24"/>
          <w:szCs w:val="24"/>
          <w:lang w:val="ro-RO"/>
        </w:rPr>
      </w:pPr>
      <w:r>
        <w:rPr>
          <w:rFonts w:ascii="Trebuchet MS" w:hAnsi="Trebuchet MS"/>
          <w:sz w:val="24"/>
          <w:szCs w:val="24"/>
          <w:lang w:val="ro-RO"/>
        </w:rPr>
      </w:r>
    </w:p>
    <w:p>
      <w:pPr>
        <w:pStyle w:val="Normal"/>
        <w:ind w:firstLine="284"/>
        <w:jc w:val="left"/>
        <w:rPr>
          <w:rFonts w:ascii="Trebuchet MS" w:hAnsi="Trebuchet MS"/>
          <w:sz w:val="24"/>
          <w:szCs w:val="24"/>
          <w:lang w:val="ro-RO"/>
        </w:rPr>
      </w:pPr>
      <w:r>
        <w:rPr>
          <w:rFonts w:ascii="Trebuchet MS" w:hAnsi="Trebuchet MS"/>
          <w:sz w:val="24"/>
          <w:szCs w:val="24"/>
          <w:lang w:val="ro-RO"/>
        </w:rPr>
      </w:r>
    </w:p>
    <w:p>
      <w:pPr>
        <w:pStyle w:val="Normal"/>
        <w:ind w:firstLine="284"/>
        <w:jc w:val="left"/>
        <w:rPr>
          <w:rFonts w:ascii="Trebuchet MS" w:hAnsi="Trebuchet MS"/>
          <w:sz w:val="24"/>
          <w:szCs w:val="24"/>
          <w:lang w:val="ro-RO"/>
        </w:rPr>
      </w:pPr>
      <w:r>
        <w:rPr>
          <w:rFonts w:ascii="Trebuchet MS" w:hAnsi="Trebuchet MS"/>
          <w:sz w:val="24"/>
          <w:szCs w:val="24"/>
          <w:lang w:val="ro-RO"/>
        </w:rPr>
      </w:r>
    </w:p>
    <w:p>
      <w:pPr>
        <w:pStyle w:val="Normal"/>
        <w:ind w:firstLine="284"/>
        <w:jc w:val="left"/>
        <w:rPr>
          <w:rFonts w:ascii="Trebuchet MS" w:hAnsi="Trebuchet MS"/>
          <w:sz w:val="24"/>
          <w:szCs w:val="24"/>
          <w:lang w:val="ro-RO"/>
        </w:rPr>
      </w:pPr>
      <w:r>
        <w:rPr>
          <w:rFonts w:ascii="Trebuchet MS" w:hAnsi="Trebuchet MS"/>
          <w:sz w:val="24"/>
          <w:szCs w:val="24"/>
          <w:lang w:val="ro-RO"/>
        </w:rPr>
      </w:r>
    </w:p>
    <w:p>
      <w:pPr>
        <w:pStyle w:val="Normal"/>
        <w:ind w:firstLine="284"/>
        <w:jc w:val="left"/>
        <w:rPr>
          <w:rFonts w:ascii="Trebuchet MS" w:hAnsi="Trebuchet MS"/>
          <w:sz w:val="24"/>
          <w:szCs w:val="24"/>
          <w:lang w:val="ro-RO"/>
        </w:rPr>
      </w:pPr>
      <w:r>
        <w:rPr>
          <w:rFonts w:ascii="Trebuchet MS" w:hAnsi="Trebuchet MS"/>
          <w:sz w:val="24"/>
          <w:szCs w:val="24"/>
          <w:lang w:val="ro-RO"/>
        </w:rPr>
      </w:r>
    </w:p>
    <w:p>
      <w:pPr>
        <w:pStyle w:val="Normal"/>
        <w:ind w:firstLine="284"/>
        <w:jc w:val="right"/>
        <w:rPr>
          <w:rFonts w:ascii="Trebuchet MS" w:hAnsi="Trebuchet MS"/>
          <w:sz w:val="20"/>
          <w:szCs w:val="20"/>
          <w:lang w:val="ro-RO"/>
        </w:rPr>
      </w:pPr>
      <w:r>
        <w:rPr>
          <w:rFonts w:ascii="Trebuchet MS" w:hAnsi="Trebuchet MS"/>
          <w:sz w:val="20"/>
          <w:szCs w:val="20"/>
          <w:lang w:val="ro-RO"/>
        </w:rPr>
        <w:t>ANEXA NR. 3</w:t>
      </w:r>
    </w:p>
    <w:tbl>
      <w:tblPr>
        <w:tblStyle w:val="15"/>
        <w:tblpPr w:vertAnchor="text" w:horzAnchor="page" w:leftFromText="180" w:rightFromText="180" w:tblpX="2255" w:tblpY="112"/>
        <w:tblW w:w="13300" w:type="dxa"/>
        <w:jc w:val="left"/>
        <w:tblInd w:w="108" w:type="dxa"/>
        <w:tblLayout w:type="fixed"/>
        <w:tblCellMar>
          <w:top w:w="0" w:type="dxa"/>
          <w:left w:w="108" w:type="dxa"/>
          <w:bottom w:w="0" w:type="dxa"/>
          <w:right w:w="108" w:type="dxa"/>
        </w:tblCellMar>
      </w:tblPr>
      <w:tblGrid>
        <w:gridCol w:w="1717"/>
        <w:gridCol w:w="1607"/>
        <w:gridCol w:w="1663"/>
        <w:gridCol w:w="1662"/>
        <w:gridCol w:w="1663"/>
        <w:gridCol w:w="1663"/>
        <w:gridCol w:w="1662"/>
        <w:gridCol w:w="1661"/>
      </w:tblGrid>
      <w:tr>
        <w:trPr>
          <w:trHeight w:val="864" w:hRule="atLeast"/>
        </w:trPr>
        <w:tc>
          <w:tcPr>
            <w:tcW w:w="13298" w:type="dxa"/>
            <w:gridSpan w:val="8"/>
            <w:tcBorders/>
          </w:tcPr>
          <w:p>
            <w:pPr>
              <w:pStyle w:val="Normal"/>
              <w:widowControl w:val="false"/>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DESTINATAR ÎNREGISTRAT - PRODUSE ENERGETICE (BENZINĂ, MOTORINĂ, GAZ PETROLIER LICHEFIAT, PETROL LAMPANT</w:t>
            </w:r>
          </w:p>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Denumire societate_________________________________</w:t>
            </w:r>
          </w:p>
        </w:tc>
      </w:tr>
      <w:tr>
        <w:trPr>
          <w:trHeight w:val="437" w:hRule="atLeast"/>
        </w:trPr>
        <w:tc>
          <w:tcPr>
            <w:tcW w:w="13298" w:type="dxa"/>
            <w:gridSpan w:val="8"/>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Situația livrărilor în luna_____________ an _________________</w:t>
            </w:r>
          </w:p>
        </w:tc>
      </w:tr>
      <w:tr>
        <w:trPr>
          <w:trHeight w:val="437" w:hRule="atLeast"/>
        </w:trPr>
        <w:tc>
          <w:tcPr>
            <w:tcW w:w="1717" w:type="dxa"/>
            <w:vMerge w:val="restart"/>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Nr.crt</w:t>
            </w:r>
          </w:p>
        </w:tc>
        <w:tc>
          <w:tcPr>
            <w:tcW w:w="1607" w:type="dxa"/>
            <w:vMerge w:val="restart"/>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CUI</w:t>
            </w:r>
          </w:p>
        </w:tc>
        <w:tc>
          <w:tcPr>
            <w:tcW w:w="4988" w:type="dxa"/>
            <w:gridSpan w:val="3"/>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PRODUS</w:t>
            </w:r>
          </w:p>
        </w:tc>
        <w:tc>
          <w:tcPr>
            <w:tcW w:w="1663" w:type="dxa"/>
            <w:vMerge w:val="restart"/>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Cantitate - Tonă</w:t>
            </w:r>
          </w:p>
        </w:tc>
        <w:tc>
          <w:tcPr>
            <w:tcW w:w="1662" w:type="dxa"/>
            <w:vMerge w:val="restart"/>
            <w:tcBorders/>
          </w:tcPr>
          <w:p>
            <w:pPr>
              <w:pStyle w:val="Normal"/>
              <w:widowControl w:val="false"/>
              <w:spacing w:before="0" w:after="160"/>
              <w:jc w:val="left"/>
              <w:rPr>
                <w:rFonts w:ascii="Trebuchet MS" w:hAnsi="Trebuchet MS" w:cs="Trebuchet MS"/>
                <w:vertAlign w:val="superscript"/>
                <w:lang w:val="ro-RO"/>
              </w:rPr>
            </w:pPr>
            <w:r>
              <w:rPr>
                <w:rFonts w:cs="Trebuchet MS" w:ascii="Trebuchet MS" w:hAnsi="Trebuchet MS"/>
                <w:position w:val="0"/>
                <w:sz w:val="22"/>
                <w:vertAlign w:val="baseline"/>
                <w:lang w:val="ro-RO"/>
              </w:rPr>
              <w:t>Cantitate - litri la 15</w:t>
            </w:r>
            <w:r>
              <w:rPr>
                <w:rFonts w:cs="Trebuchet MS" w:ascii="Trebuchet MS" w:hAnsi="Trebuchet MS"/>
                <w:vertAlign w:val="superscript"/>
                <w:lang w:val="ro-RO"/>
              </w:rPr>
              <w:t>0</w:t>
            </w:r>
          </w:p>
        </w:tc>
        <w:tc>
          <w:tcPr>
            <w:tcW w:w="1661" w:type="dxa"/>
            <w:vMerge w:val="restart"/>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Cuantum acciză</w:t>
            </w:r>
          </w:p>
        </w:tc>
      </w:tr>
      <w:tr>
        <w:trPr>
          <w:trHeight w:val="707" w:hRule="atLeast"/>
        </w:trPr>
        <w:tc>
          <w:tcPr>
            <w:tcW w:w="1717" w:type="dxa"/>
            <w:vMerge w:val="continue"/>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07" w:type="dxa"/>
            <w:vMerge w:val="continue"/>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Denumire</w:t>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Cod produs accizabil</w:t>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Cod NC</w:t>
            </w:r>
          </w:p>
        </w:tc>
        <w:tc>
          <w:tcPr>
            <w:tcW w:w="1663" w:type="dxa"/>
            <w:vMerge w:val="continue"/>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vMerge w:val="continue"/>
            <w:tcBorders/>
          </w:tcPr>
          <w:p>
            <w:pPr>
              <w:pStyle w:val="Normal"/>
              <w:widowControl w:val="false"/>
              <w:spacing w:before="0" w:after="160"/>
              <w:jc w:val="left"/>
              <w:rPr>
                <w:rFonts w:ascii="Trebuchet MS" w:hAnsi="Trebuchet MS" w:cs="Trebuchet MS"/>
                <w:vertAlign w:val="superscript"/>
                <w:lang w:val="ro-RO"/>
              </w:rPr>
            </w:pPr>
            <w:r>
              <w:rPr>
                <w:rFonts w:cs="Trebuchet MS" w:ascii="Trebuchet MS" w:hAnsi="Trebuchet MS"/>
                <w:vertAlign w:val="superscript"/>
                <w:lang w:val="ro-RO"/>
              </w:rPr>
            </w:r>
          </w:p>
        </w:tc>
        <w:tc>
          <w:tcPr>
            <w:tcW w:w="1661" w:type="dxa"/>
            <w:vMerge w:val="continue"/>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1</w:t>
            </w:r>
          </w:p>
        </w:tc>
        <w:tc>
          <w:tcPr>
            <w:tcW w:w="160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1"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2</w:t>
            </w:r>
          </w:p>
        </w:tc>
        <w:tc>
          <w:tcPr>
            <w:tcW w:w="160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1"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3</w:t>
            </w:r>
          </w:p>
        </w:tc>
        <w:tc>
          <w:tcPr>
            <w:tcW w:w="160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1"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0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1"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0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1"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0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1"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0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1"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47" w:hRule="atLeast"/>
        </w:trPr>
        <w:tc>
          <w:tcPr>
            <w:tcW w:w="171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TOTAL</w:t>
            </w:r>
          </w:p>
        </w:tc>
        <w:tc>
          <w:tcPr>
            <w:tcW w:w="1607"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663"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661" w:type="dxa"/>
            <w:tcBorders/>
          </w:tcPr>
          <w:p>
            <w:pPr>
              <w:pStyle w:val="Normal"/>
              <w:widowControl w:val="false"/>
              <w:spacing w:before="0" w:after="160"/>
              <w:jc w:val="left"/>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bl>
    <w:p>
      <w:pPr>
        <w:pStyle w:val="Normal"/>
        <w:spacing w:lineRule="auto" w:line="240" w:before="0" w:after="0"/>
        <w:contextualSpacing/>
        <w:jc w:val="left"/>
        <w:rPr>
          <w:rFonts w:ascii="Trebuchet MS" w:hAnsi="Trebuchet MS" w:eastAsia="Times New Roman" w:cs="Times New Roman"/>
          <w:sz w:val="20"/>
          <w:szCs w:val="20"/>
          <w:lang w:val="ro-RO"/>
        </w:rPr>
      </w:pPr>
      <w:r>
        <w:rPr>
          <w:rFonts w:eastAsia="Times New Roman" w:cs="Times New Roman" w:ascii="Trebuchet MS" w:hAnsi="Trebuchet MS"/>
          <w:sz w:val="20"/>
          <w:szCs w:val="20"/>
          <w:lang w:val="ro-RO"/>
        </w:rPr>
      </w:r>
    </w:p>
    <w:p>
      <w:pPr>
        <w:pStyle w:val="Normal"/>
        <w:ind w:firstLine="284"/>
        <w:jc w:val="left"/>
        <w:rPr>
          <w:rFonts w:ascii="Trebuchet MS" w:hAnsi="Trebuchet MS"/>
          <w:sz w:val="20"/>
          <w:szCs w:val="20"/>
          <w:lang w:val="ro-RO"/>
        </w:rPr>
      </w:pPr>
      <w:r>
        <w:rPr>
          <w:rFonts w:ascii="Trebuchet MS" w:hAnsi="Trebuchet MS"/>
          <w:sz w:val="20"/>
          <w:szCs w:val="20"/>
          <w:lang w:val="ro-RO"/>
        </w:rPr>
      </w:r>
    </w:p>
    <w:p>
      <w:pPr>
        <w:pStyle w:val="Normal"/>
        <w:ind w:firstLine="284"/>
        <w:jc w:val="left"/>
        <w:rPr>
          <w:rFonts w:ascii="Trebuchet MS" w:hAnsi="Trebuchet MS"/>
          <w:sz w:val="20"/>
          <w:szCs w:val="20"/>
          <w:lang w:val="ro-RO"/>
        </w:rPr>
      </w:pPr>
      <w:r>
        <w:rPr>
          <w:rFonts w:ascii="Trebuchet MS" w:hAnsi="Trebuchet MS"/>
          <w:sz w:val="20"/>
          <w:szCs w:val="20"/>
          <w:lang w:val="ro-RO"/>
        </w:rPr>
      </w:r>
    </w:p>
    <w:p>
      <w:pPr>
        <w:pStyle w:val="Normal"/>
        <w:ind w:firstLine="284"/>
        <w:jc w:val="left"/>
        <w:rPr>
          <w:rFonts w:ascii="Trebuchet MS" w:hAnsi="Trebuchet MS"/>
          <w:sz w:val="20"/>
          <w:szCs w:val="20"/>
          <w:lang w:val="ro-RO"/>
        </w:rPr>
      </w:pPr>
      <w:r>
        <w:rPr>
          <w:rFonts w:ascii="Trebuchet MS" w:hAnsi="Trebuchet MS"/>
          <w:sz w:val="20"/>
          <w:szCs w:val="20"/>
          <w:lang w:val="ro-RO"/>
        </w:rPr>
      </w:r>
    </w:p>
    <w:p>
      <w:pPr>
        <w:pStyle w:val="Normal"/>
        <w:ind w:firstLine="284"/>
        <w:jc w:val="left"/>
        <w:rPr>
          <w:rFonts w:ascii="Trebuchet MS" w:hAnsi="Trebuchet MS"/>
          <w:sz w:val="20"/>
          <w:szCs w:val="20"/>
          <w:lang w:val="ro-RO"/>
        </w:rPr>
      </w:pPr>
      <w:r>
        <w:rPr>
          <w:rFonts w:ascii="Trebuchet MS" w:hAnsi="Trebuchet MS"/>
          <w:sz w:val="20"/>
          <w:szCs w:val="20"/>
          <w:lang w:val="ro-RO"/>
        </w:rPr>
      </w:r>
    </w:p>
    <w:p>
      <w:pPr>
        <w:pStyle w:val="Normal"/>
        <w:ind w:firstLine="284"/>
        <w:jc w:val="left"/>
        <w:rPr>
          <w:rFonts w:ascii="Trebuchet MS" w:hAnsi="Trebuchet MS"/>
          <w:sz w:val="20"/>
          <w:szCs w:val="20"/>
          <w:lang w:val="ro-RO"/>
        </w:rPr>
      </w:pPr>
      <w:r>
        <w:rPr>
          <w:rFonts w:ascii="Trebuchet MS" w:hAnsi="Trebuchet MS"/>
          <w:sz w:val="20"/>
          <w:szCs w:val="20"/>
          <w:lang w:val="ro-RO"/>
        </w:rPr>
      </w:r>
    </w:p>
    <w:tbl>
      <w:tblPr>
        <w:tblStyle w:val="15"/>
        <w:tblW w:w="13320" w:type="dxa"/>
        <w:jc w:val="left"/>
        <w:tblInd w:w="0" w:type="dxa"/>
        <w:tblLayout w:type="fixed"/>
        <w:tblCellMar>
          <w:top w:w="0" w:type="dxa"/>
          <w:left w:w="108" w:type="dxa"/>
          <w:bottom w:w="0" w:type="dxa"/>
          <w:right w:w="108" w:type="dxa"/>
        </w:tblCellMar>
      </w:tblPr>
      <w:tblGrid>
        <w:gridCol w:w="1013"/>
        <w:gridCol w:w="1319"/>
        <w:gridCol w:w="1284"/>
        <w:gridCol w:w="1195"/>
        <w:gridCol w:w="1196"/>
        <w:gridCol w:w="2364"/>
        <w:gridCol w:w="1308"/>
        <w:gridCol w:w="986"/>
        <w:gridCol w:w="1469"/>
        <w:gridCol w:w="1184"/>
      </w:tblGrid>
      <w:tr>
        <w:trPr>
          <w:trHeight w:val="1727" w:hRule="atLeast"/>
        </w:trPr>
        <w:tc>
          <w:tcPr>
            <w:tcW w:w="13318" w:type="dxa"/>
            <w:gridSpan w:val="10"/>
            <w:tcBorders/>
          </w:tcPr>
          <w:p>
            <w:pPr>
              <w:pStyle w:val="Normal"/>
              <w:widowControl w:val="false"/>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DESTINATAR ÎNREGISTRAT - ALCOOL ȘI BĂUTURI ALCOOLICE</w:t>
            </w:r>
          </w:p>
          <w:p>
            <w:pPr>
              <w:pStyle w:val="Normal"/>
              <w:widowControl w:val="false"/>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(BERE, VINURI, BĂUTURI FERMENTATE, ALTELE DECÂT VINURI, PRODUSE INTERMEDIARE, ALCOOL ETILIC)</w:t>
            </w:r>
          </w:p>
          <w:p>
            <w:pPr>
              <w:pStyle w:val="Normal"/>
              <w:widowControl w:val="false"/>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Denumire societate________________________________________</w:t>
            </w:r>
          </w:p>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869" w:hRule="atLeast"/>
        </w:trPr>
        <w:tc>
          <w:tcPr>
            <w:tcW w:w="13318" w:type="dxa"/>
            <w:gridSpan w:val="10"/>
            <w:tcBorders/>
          </w:tcPr>
          <w:p>
            <w:pPr>
              <w:pStyle w:val="Normal"/>
              <w:widowControl w:val="false"/>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SITUAȚIA LIVRĂRILOR ÎN LUNA_______________________ AN____________________</w:t>
            </w:r>
          </w:p>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711" w:hRule="atLeast"/>
        </w:trPr>
        <w:tc>
          <w:tcPr>
            <w:tcW w:w="1013" w:type="dxa"/>
            <w:vMerge w:val="restart"/>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Nr.crt</w:t>
            </w:r>
          </w:p>
        </w:tc>
        <w:tc>
          <w:tcPr>
            <w:tcW w:w="1319" w:type="dxa"/>
            <w:vMerge w:val="restart"/>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CUI</w:t>
            </w:r>
          </w:p>
        </w:tc>
        <w:tc>
          <w:tcPr>
            <w:tcW w:w="3675" w:type="dxa"/>
            <w:gridSpan w:val="3"/>
            <w:tcBorders/>
          </w:tcPr>
          <w:p>
            <w:pPr>
              <w:pStyle w:val="Normal"/>
              <w:widowControl w:val="false"/>
              <w:spacing w:before="0" w:after="160"/>
              <w:jc w:val="center"/>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Produs</w:t>
            </w:r>
          </w:p>
        </w:tc>
        <w:tc>
          <w:tcPr>
            <w:tcW w:w="2364" w:type="dxa"/>
            <w:vMerge w:val="restart"/>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Concentrație grade alcoolice/GRAD PLATO</w:t>
            </w:r>
          </w:p>
        </w:tc>
        <w:tc>
          <w:tcPr>
            <w:tcW w:w="2294" w:type="dxa"/>
            <w:gridSpan w:val="2"/>
            <w:tcBorders/>
          </w:tcPr>
          <w:p>
            <w:pPr>
              <w:pStyle w:val="Normal"/>
              <w:widowControl w:val="false"/>
              <w:spacing w:before="0" w:after="160"/>
              <w:jc w:val="center"/>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Recipiente</w:t>
            </w:r>
          </w:p>
        </w:tc>
        <w:tc>
          <w:tcPr>
            <w:tcW w:w="146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Cantitate (Hectolitri)</w:t>
            </w:r>
          </w:p>
        </w:tc>
        <w:tc>
          <w:tcPr>
            <w:tcW w:w="11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Cuantum acciză</w:t>
            </w:r>
          </w:p>
        </w:tc>
      </w:tr>
      <w:tr>
        <w:trPr>
          <w:trHeight w:val="983" w:hRule="atLeast"/>
        </w:trPr>
        <w:tc>
          <w:tcPr>
            <w:tcW w:w="1013" w:type="dxa"/>
            <w:vMerge w:val="continue"/>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319" w:type="dxa"/>
            <w:vMerge w:val="continue"/>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2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Denumire</w:t>
            </w:r>
          </w:p>
        </w:tc>
        <w:tc>
          <w:tcPr>
            <w:tcW w:w="119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Cod produs accizabil</w:t>
            </w:r>
          </w:p>
        </w:tc>
        <w:tc>
          <w:tcPr>
            <w:tcW w:w="119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Cod NC</w:t>
            </w:r>
          </w:p>
        </w:tc>
        <w:tc>
          <w:tcPr>
            <w:tcW w:w="2364" w:type="dxa"/>
            <w:vMerge w:val="continue"/>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308"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Capacitate</w:t>
            </w:r>
          </w:p>
        </w:tc>
        <w:tc>
          <w:tcPr>
            <w:tcW w:w="98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Număr</w:t>
            </w:r>
          </w:p>
        </w:tc>
        <w:tc>
          <w:tcPr>
            <w:tcW w:w="146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9" w:hRule="atLeast"/>
        </w:trPr>
        <w:tc>
          <w:tcPr>
            <w:tcW w:w="101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1</w:t>
            </w:r>
          </w:p>
        </w:tc>
        <w:tc>
          <w:tcPr>
            <w:tcW w:w="131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2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9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9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36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308"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98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6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9" w:hRule="atLeast"/>
        </w:trPr>
        <w:tc>
          <w:tcPr>
            <w:tcW w:w="101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2</w:t>
            </w:r>
          </w:p>
        </w:tc>
        <w:tc>
          <w:tcPr>
            <w:tcW w:w="131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2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9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9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36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308"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98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6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39" w:hRule="atLeast"/>
        </w:trPr>
        <w:tc>
          <w:tcPr>
            <w:tcW w:w="101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3</w:t>
            </w:r>
          </w:p>
        </w:tc>
        <w:tc>
          <w:tcPr>
            <w:tcW w:w="131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2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9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9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36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308"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98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6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449" w:hRule="atLeast"/>
        </w:trPr>
        <w:tc>
          <w:tcPr>
            <w:tcW w:w="101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TOTAL</w:t>
            </w:r>
          </w:p>
        </w:tc>
        <w:tc>
          <w:tcPr>
            <w:tcW w:w="131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2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19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19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236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308"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986"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69"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8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bl>
    <w:p>
      <w:pPr>
        <w:pStyle w:val="Normal"/>
        <w:ind w:firstLine="284"/>
        <w:jc w:val="left"/>
        <w:rPr>
          <w:rFonts w:ascii="Trebuchet MS" w:hAnsi="Trebuchet MS"/>
          <w:sz w:val="20"/>
          <w:szCs w:val="20"/>
          <w:lang w:val="ro-RO"/>
        </w:rPr>
      </w:pPr>
      <w:r>
        <w:rPr>
          <w:rFonts w:ascii="Trebuchet MS" w:hAnsi="Trebuchet MS"/>
          <w:sz w:val="20"/>
          <w:szCs w:val="20"/>
          <w:lang w:val="ro-RO"/>
        </w:rPr>
      </w:r>
    </w:p>
    <w:p>
      <w:pPr>
        <w:pStyle w:val="Normal"/>
        <w:ind w:firstLine="284"/>
        <w:jc w:val="left"/>
        <w:rPr>
          <w:rFonts w:ascii="Trebuchet MS" w:hAnsi="Trebuchet MS"/>
          <w:sz w:val="20"/>
          <w:szCs w:val="20"/>
          <w:lang w:val="ro-RO"/>
        </w:rPr>
      </w:pPr>
      <w:r>
        <w:rPr>
          <w:rFonts w:ascii="Trebuchet MS" w:hAnsi="Trebuchet MS"/>
          <w:sz w:val="20"/>
          <w:szCs w:val="20"/>
          <w:lang w:val="ro-RO"/>
        </w:rPr>
      </w:r>
    </w:p>
    <w:p>
      <w:pPr>
        <w:pStyle w:val="Normal"/>
        <w:ind w:firstLine="284"/>
        <w:jc w:val="left"/>
        <w:rPr>
          <w:rFonts w:ascii="Trebuchet MS" w:hAnsi="Trebuchet MS"/>
          <w:sz w:val="20"/>
          <w:szCs w:val="20"/>
          <w:lang w:val="ro-RO"/>
        </w:rPr>
      </w:pPr>
      <w:r>
        <w:rPr>
          <w:rFonts w:ascii="Trebuchet MS" w:hAnsi="Trebuchet MS"/>
          <w:sz w:val="20"/>
          <w:szCs w:val="20"/>
          <w:lang w:val="ro-RO"/>
        </w:rPr>
      </w:r>
    </w:p>
    <w:p>
      <w:pPr>
        <w:pStyle w:val="Normal"/>
        <w:ind w:firstLine="284"/>
        <w:jc w:val="left"/>
        <w:rPr>
          <w:rFonts w:ascii="Trebuchet MS" w:hAnsi="Trebuchet MS"/>
          <w:sz w:val="20"/>
          <w:szCs w:val="20"/>
          <w:lang w:val="ro-RO"/>
        </w:rPr>
      </w:pPr>
      <w:r>
        <w:rPr>
          <w:rFonts w:ascii="Trebuchet MS" w:hAnsi="Trebuchet MS"/>
          <w:sz w:val="20"/>
          <w:szCs w:val="20"/>
          <w:lang w:val="ro-RO"/>
        </w:rPr>
      </w:r>
    </w:p>
    <w:p>
      <w:pPr>
        <w:pStyle w:val="Normal"/>
        <w:ind w:firstLine="284"/>
        <w:jc w:val="left"/>
        <w:rPr>
          <w:rFonts w:ascii="Trebuchet MS" w:hAnsi="Trebuchet MS"/>
          <w:sz w:val="20"/>
          <w:szCs w:val="20"/>
          <w:lang w:val="ro-RO"/>
        </w:rPr>
      </w:pPr>
      <w:r>
        <w:rPr>
          <w:rFonts w:ascii="Trebuchet MS" w:hAnsi="Trebuchet MS"/>
          <w:sz w:val="20"/>
          <w:szCs w:val="20"/>
          <w:lang w:val="ro-RO"/>
        </w:rPr>
      </w:r>
    </w:p>
    <w:tbl>
      <w:tblPr>
        <w:tblStyle w:val="15"/>
        <w:tblW w:w="13565" w:type="dxa"/>
        <w:jc w:val="left"/>
        <w:tblInd w:w="0" w:type="dxa"/>
        <w:tblLayout w:type="fixed"/>
        <w:tblCellMar>
          <w:top w:w="0" w:type="dxa"/>
          <w:left w:w="108" w:type="dxa"/>
          <w:bottom w:w="0" w:type="dxa"/>
          <w:right w:w="108" w:type="dxa"/>
        </w:tblCellMar>
      </w:tblPr>
      <w:tblGrid>
        <w:gridCol w:w="990"/>
        <w:gridCol w:w="1454"/>
        <w:gridCol w:w="2535"/>
        <w:gridCol w:w="2107"/>
        <w:gridCol w:w="1493"/>
        <w:gridCol w:w="2050"/>
        <w:gridCol w:w="1773"/>
        <w:gridCol w:w="1161"/>
      </w:tblGrid>
      <w:tr>
        <w:trPr>
          <w:trHeight w:val="1406" w:hRule="atLeast"/>
        </w:trPr>
        <w:tc>
          <w:tcPr>
            <w:tcW w:w="13563" w:type="dxa"/>
            <w:gridSpan w:val="8"/>
            <w:tcBorders/>
          </w:tcPr>
          <w:p>
            <w:pPr>
              <w:pStyle w:val="Normal"/>
              <w:widowControl w:val="false"/>
              <w:jc w:val="both"/>
              <w:rPr>
                <w:rFonts w:ascii="Trebuchet MS" w:hAnsi="Trebuchet MS" w:cs="Trebuchet MS"/>
                <w:b/>
                <w:bCs/>
                <w:position w:val="0"/>
                <w:sz w:val="20"/>
                <w:vertAlign w:val="baseline"/>
                <w:lang w:val="ro-RO"/>
              </w:rPr>
            </w:pPr>
            <w:r>
              <w:rPr>
                <w:rFonts w:cs="Trebuchet MS" w:ascii="Trebuchet MS" w:hAnsi="Trebuchet MS"/>
                <w:b/>
                <w:bCs/>
                <w:position w:val="0"/>
                <w:sz w:val="22"/>
                <w:vertAlign w:val="baseline"/>
                <w:lang w:val="ro-RO"/>
              </w:rPr>
              <w:t>DESTINATAR ÎNREGISTRAT - TUTUN PRELUCRAT</w:t>
            </w:r>
          </w:p>
          <w:p>
            <w:pPr>
              <w:pStyle w:val="Normal"/>
              <w:widowControl w:val="false"/>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(ȚIGARETE, ȚIGĂRI DE FOI, TUTUN FIN TĂIAT, DESTINAT RULĂRII ÎN ȚIGARETE, ALTE TUTUMURI DE FUMAT)</w:t>
            </w:r>
          </w:p>
          <w:p>
            <w:pPr>
              <w:pStyle w:val="Normal"/>
              <w:widowControl w:val="false"/>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Denumire societate____________________________</w:t>
            </w:r>
          </w:p>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c>
          <w:tcPr>
            <w:tcW w:w="13563" w:type="dxa"/>
            <w:gridSpan w:val="8"/>
            <w:tcBorders/>
          </w:tcPr>
          <w:p>
            <w:pPr>
              <w:pStyle w:val="Normal"/>
              <w:widowControl w:val="false"/>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SITUAȚIA LIVRĂRILOR ÎN LUNA_____________AN________</w:t>
            </w:r>
          </w:p>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rHeight w:val="252" w:hRule="atLeast"/>
        </w:trPr>
        <w:tc>
          <w:tcPr>
            <w:tcW w:w="990" w:type="dxa"/>
            <w:vMerge w:val="restart"/>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Nr.crt</w:t>
            </w:r>
          </w:p>
        </w:tc>
        <w:tc>
          <w:tcPr>
            <w:tcW w:w="1454" w:type="dxa"/>
            <w:vMerge w:val="restart"/>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CUI</w:t>
            </w:r>
          </w:p>
        </w:tc>
        <w:tc>
          <w:tcPr>
            <w:tcW w:w="6135" w:type="dxa"/>
            <w:gridSpan w:val="3"/>
            <w:tcBorders/>
          </w:tcPr>
          <w:p>
            <w:pPr>
              <w:pStyle w:val="Normal"/>
              <w:widowControl w:val="false"/>
              <w:spacing w:before="0" w:after="160"/>
              <w:jc w:val="center"/>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Produs</w:t>
            </w:r>
          </w:p>
        </w:tc>
        <w:tc>
          <w:tcPr>
            <w:tcW w:w="205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773" w:type="dxa"/>
            <w:vMerge w:val="restart"/>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Cantitate - Kg</w:t>
            </w:r>
          </w:p>
        </w:tc>
        <w:tc>
          <w:tcPr>
            <w:tcW w:w="1161" w:type="dxa"/>
            <w:vMerge w:val="restart"/>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Cuantum acciză</w:t>
            </w:r>
          </w:p>
        </w:tc>
      </w:tr>
      <w:tr>
        <w:trPr/>
        <w:tc>
          <w:tcPr>
            <w:tcW w:w="990" w:type="dxa"/>
            <w:vMerge w:val="continue"/>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54" w:type="dxa"/>
            <w:vMerge w:val="continue"/>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Denumire</w:t>
            </w:r>
          </w:p>
        </w:tc>
        <w:tc>
          <w:tcPr>
            <w:tcW w:w="2107"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Cod produs accizabil</w:t>
            </w:r>
          </w:p>
        </w:tc>
        <w:tc>
          <w:tcPr>
            <w:tcW w:w="149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Cod NC</w:t>
            </w:r>
          </w:p>
        </w:tc>
        <w:tc>
          <w:tcPr>
            <w:tcW w:w="2050" w:type="dxa"/>
            <w:tcBorders/>
          </w:tcPr>
          <w:p>
            <w:pPr>
              <w:pStyle w:val="Normal"/>
              <w:widowControl w:val="false"/>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Cantitate</w:t>
            </w:r>
          </w:p>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(1000țigarete/țări))</w:t>
            </w:r>
          </w:p>
        </w:tc>
        <w:tc>
          <w:tcPr>
            <w:tcW w:w="1773" w:type="dxa"/>
            <w:vMerge w:val="continue"/>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61" w:type="dxa"/>
            <w:vMerge w:val="continue"/>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1</w:t>
            </w:r>
          </w:p>
        </w:tc>
        <w:tc>
          <w:tcPr>
            <w:tcW w:w="145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107"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9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05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61"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2</w:t>
            </w:r>
          </w:p>
        </w:tc>
        <w:tc>
          <w:tcPr>
            <w:tcW w:w="145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107"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9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05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61"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3</w:t>
            </w:r>
          </w:p>
        </w:tc>
        <w:tc>
          <w:tcPr>
            <w:tcW w:w="145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107"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9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05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61"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45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107"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9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05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61"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5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107"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49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205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61"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TOTAL</w:t>
            </w:r>
          </w:p>
        </w:tc>
        <w:tc>
          <w:tcPr>
            <w:tcW w:w="1454"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2535"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2107"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149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2"/>
                <w:vertAlign w:val="baseline"/>
                <w:lang w:val="ro-RO"/>
              </w:rPr>
              <w:t>-</w:t>
            </w:r>
          </w:p>
        </w:tc>
        <w:tc>
          <w:tcPr>
            <w:tcW w:w="2050"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c>
          <w:tcPr>
            <w:tcW w:w="1161" w:type="dxa"/>
            <w:tcBorders/>
          </w:tcPr>
          <w:p>
            <w:pPr>
              <w:pStyle w:val="Normal"/>
              <w:widowControl w:val="false"/>
              <w:spacing w:before="0" w:after="160"/>
              <w:jc w:val="both"/>
              <w:rPr>
                <w:rFonts w:ascii="Trebuchet MS" w:hAnsi="Trebuchet MS" w:cs="Trebuchet MS"/>
                <w:position w:val="0"/>
                <w:sz w:val="20"/>
                <w:vertAlign w:val="baseline"/>
                <w:lang w:val="ro-RO"/>
              </w:rPr>
            </w:pPr>
            <w:r>
              <w:rPr>
                <w:rFonts w:cs="Trebuchet MS" w:ascii="Trebuchet MS" w:hAnsi="Trebuchet MS"/>
                <w:position w:val="0"/>
                <w:sz w:val="20"/>
                <w:vertAlign w:val="baseline"/>
                <w:lang w:val="ro-RO"/>
              </w:rPr>
            </w:r>
          </w:p>
        </w:tc>
      </w:tr>
    </w:tbl>
    <w:p>
      <w:pPr>
        <w:pStyle w:val="Normal"/>
        <w:ind w:firstLine="284"/>
        <w:jc w:val="left"/>
        <w:rPr>
          <w:rFonts w:ascii="Trebuchet MS" w:hAnsi="Trebuchet MS"/>
          <w:sz w:val="20"/>
          <w:szCs w:val="20"/>
          <w:lang w:val="ro-RO"/>
        </w:rPr>
      </w:pPr>
      <w:r>
        <w:rPr>
          <w:rFonts w:ascii="Trebuchet MS" w:hAnsi="Trebuchet MS"/>
          <w:sz w:val="20"/>
          <w:szCs w:val="20"/>
          <w:lang w:val="ro-RO"/>
        </w:rPr>
      </w:r>
    </w:p>
    <w:p>
      <w:pPr>
        <w:pStyle w:val="Normal"/>
        <w:spacing w:before="0" w:after="160"/>
        <w:jc w:val="left"/>
        <w:rPr>
          <w:lang w:val="ro-RO"/>
        </w:rPr>
      </w:pPr>
      <w:r>
        <w:rPr>
          <w:lang w:val="ro-RO"/>
        </w:rPr>
      </w:r>
    </w:p>
    <w:p>
      <w:pPr>
        <w:pStyle w:val="Normal"/>
        <w:spacing w:before="0" w:after="160"/>
        <w:jc w:val="left"/>
        <w:rPr>
          <w:lang w:val="ro-RO"/>
        </w:rPr>
      </w:pPr>
      <w:r>
        <w:rPr>
          <w:lang w:val="ro-RO"/>
        </w:rPr>
      </w:r>
    </w:p>
    <w:sectPr>
      <w:headerReference w:type="default" r:id="rId4"/>
      <w:headerReference w:type="first" r:id="rId5"/>
      <w:footerReference w:type="default" r:id="rId6"/>
      <w:footerReference w:type="first" r:id="rId7"/>
      <w:type w:val="nextPage"/>
      <w:pgSz w:orient="landscape" w:w="16838" w:h="11906"/>
      <w:pgMar w:left="2410" w:right="1088" w:gutter="0" w:header="0" w:top="2268" w:footer="737" w:bottom="99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inherit">
    <w:charset w:val="00"/>
    <w:family w:val="roman"/>
    <w:pitch w:val="variable"/>
  </w:font>
  <w:font w:name="Segoe UI">
    <w:charset w:val="00"/>
    <w:family w:val="roman"/>
    <w:pitch w:val="variable"/>
  </w:font>
  <w:font w:name="Liberation Sans">
    <w:altName w:val="Arial"/>
    <w:charset w:val="00"/>
    <w:family w:val="roman"/>
    <w:pitch w:val="variable"/>
  </w:font>
  <w:font w:name="Trebuchet MS">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t xml:space="preserve">Page </w:t>
    </w:r>
    <w:r>
      <w:rPr/>
      <w:fldChar w:fldCharType="begin"/>
    </w:r>
    <w:r>
      <w:rPr/>
      <w:instrText xml:space="preserve"> PAGE </w:instrText>
    </w:r>
    <w:r>
      <w:rPr/>
      <w:fldChar w:fldCharType="separate"/>
    </w:r>
    <w:r>
      <w:rPr/>
      <w:t>4</w:t>
    </w:r>
    <w:r>
      <w:rPr/>
      <w:fldChar w:fldCharType="end"/>
    </w:r>
    <w:r>
      <w:rPr>
        <w:bCs/>
        <w:sz w:val="24"/>
        <w:szCs w:val="24"/>
      </w:rPr>
      <w:t>/</w:t>
    </w:r>
    <w:r>
      <w:rPr/>
      <w:fldChar w:fldCharType="begin"/>
    </w:r>
    <w:r>
      <w:rPr/>
      <w:instrText xml:space="preserve"> NUMPAGES </w:instrText>
    </w:r>
    <w:r>
      <w:rPr/>
      <w:fldChar w:fldCharType="separate"/>
    </w:r>
    <w:r>
      <w:rPr/>
      <w:t>10</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left" w:pos="1261" w:leader="none"/>
        <w:tab w:val="center" w:pos="4680" w:leader="none"/>
        <w:tab w:val="right" w:pos="9360" w:leader="none"/>
      </w:tabs>
      <w:rPr/>
    </w:pPr>
    <w:r>
      <w:rPr/>
      <w:pict>
        <v:shapetype id="_x0000_t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PowerPlusWaterMarkObject" o:spid="shape_0" fillcolor="silver" stroked="f" o:allowincell="f" style="position:absolute;margin-left:0pt;margin-top:285.2pt;width:432.25pt;height:108.2pt;mso-wrap-style:none;v-text-anchor:middle;rotation:315;mso-position-horizontal:center;mso-position-horizontal-relative:margin;mso-position-vertical:center;mso-position-vertical-relative:margin" type="_x0000_t136">
          <v:path textpathok="t"/>
          <v:textpath on="t" fitshape="t" string="PROIECT" trim="t" style="font-family:&quot;Liberation Sans&quot;;font-size:1pt"/>
          <v:fill o:detectmouseclick="t" type="solid" color2="#3f3f3f" opacity="0.5"/>
          <v:stroke color="#3465a4" joinstyle="round" endcap="flat"/>
          <w10:wrap type="none"/>
        </v:shape>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left" w:pos="1261" w:leader="none"/>
        <w:tab w:val="center" w:pos="4680" w:leader="none"/>
        <w:tab w:val="right" w:pos="9360" w:leader="none"/>
      </w:tabs>
      <w:rPr/>
    </w:pPr>
    <w:r>
      <w:rPr/>
      <w:pict>
        <v:shape id="PowerPlusWaterMarkObject" o:spid="shape_0" fillcolor="silver" stroked="f" o:allowincell="f" style="position:absolute;margin-left:54.3pt;margin-top:145.8pt;width:558.35pt;height:139.8pt;mso-wrap-style:none;v-text-anchor:middle;rotation:315;mso-position-horizontal:center;mso-position-horizontal-relative:margin;mso-position-vertical:center;mso-position-vertical-relative:margin" type="_x0000_t136">
          <v:path textpathok="t"/>
          <v:textpath on="t" fitshape="t" string="PROIECT" trim="t" style="font-family:&quot;Liberation Sans&quot;;font-size:1pt"/>
          <v:fill o:detectmouseclick="t" type="solid" color2="#3f3f3f" opacity="0.5"/>
          <v:stroke color="#3465a4" joinstyle="round" endcap="flat"/>
          <w10:wrap type="none"/>
        </v:shape>
      </w:pic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qFormat="1"/>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qFormat="1"/>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0"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qFormat="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0"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宋体"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Strong">
    <w:name w:val="Strong"/>
    <w:uiPriority w:val="0"/>
    <w:qFormat/>
    <w:rPr>
      <w:rFonts w:ascii="inherit" w:hAnsi="inherit" w:cs="inherit"/>
      <w:b/>
      <w:bCs/>
      <w:position w:val="0"/>
      <w:sz w:val="24"/>
      <w:sz w:val="24"/>
      <w:vertAlign w:val="baseline"/>
    </w:rPr>
  </w:style>
  <w:style w:type="character" w:styleId="CommentTextChar" w:customStyle="1">
    <w:name w:val="Comment Text Char"/>
    <w:basedOn w:val="DefaultParagraphFont"/>
    <w:link w:val="Annotationtext"/>
    <w:uiPriority w:val="99"/>
    <w:semiHidden/>
    <w:qFormat/>
    <w:rPr>
      <w:color w:val="00000A"/>
    </w:rPr>
  </w:style>
  <w:style w:type="character" w:styleId="Bodytext9Exact" w:customStyle="1">
    <w:name w:val="Body text (9) Exact"/>
    <w:uiPriority w:val="0"/>
    <w:qFormat/>
    <w:rPr>
      <w:color w:val="000000"/>
      <w:spacing w:val="0"/>
      <w:w w:val="100"/>
      <w:u w:val="single"/>
      <w:lang w:val="ro-RO" w:bidi="ro-RO"/>
    </w:rPr>
  </w:style>
  <w:style w:type="character" w:styleId="BodyTextChar" w:customStyle="1">
    <w:name w:val="Body Text Char"/>
    <w:basedOn w:val="DefaultParagraphFont"/>
    <w:uiPriority w:val="0"/>
    <w:qFormat/>
    <w:rPr>
      <w:color w:val="00000A"/>
    </w:rPr>
  </w:style>
  <w:style w:type="character" w:styleId="FooterChar" w:customStyle="1">
    <w:name w:val="Footer Char"/>
    <w:basedOn w:val="DefaultParagraphFont"/>
    <w:link w:val="Footer"/>
    <w:uiPriority w:val="99"/>
    <w:qFormat/>
    <w:rPr>
      <w:color w:val="00000A"/>
    </w:rPr>
  </w:style>
  <w:style w:type="character" w:styleId="HeaderChar" w:customStyle="1">
    <w:name w:val="Header Char"/>
    <w:basedOn w:val="DefaultParagraphFont"/>
    <w:link w:val="Header"/>
    <w:uiPriority w:val="99"/>
    <w:qFormat/>
    <w:rPr>
      <w:color w:val="00000A"/>
    </w:rPr>
  </w:style>
  <w:style w:type="character" w:styleId="BodyTextChar1" w:customStyle="1">
    <w:name w:val="Body Text Char1"/>
    <w:basedOn w:val="DefaultParagraphFont"/>
    <w:uiPriority w:val="99"/>
    <w:semiHidden/>
    <w:qFormat/>
    <w:rPr/>
  </w:style>
  <w:style w:type="character" w:styleId="FooterChar1" w:customStyle="1">
    <w:name w:val="Footer Char1"/>
    <w:basedOn w:val="DefaultParagraphFont"/>
    <w:uiPriority w:val="99"/>
    <w:semiHidden/>
    <w:qFormat/>
    <w:rPr/>
  </w:style>
  <w:style w:type="character" w:styleId="HeaderChar1" w:customStyle="1">
    <w:name w:val="Header Char1"/>
    <w:basedOn w:val="DefaultParagraphFont"/>
    <w:uiPriority w:val="99"/>
    <w:semiHidden/>
    <w:qFormat/>
    <w:rPr/>
  </w:style>
  <w:style w:type="character" w:styleId="CommentTextChar1" w:customStyle="1">
    <w:name w:val="Comment Text Char1"/>
    <w:basedOn w:val="DefaultParagraphFont"/>
    <w:uiPriority w:val="99"/>
    <w:semiHidden/>
    <w:qFormat/>
    <w:rPr>
      <w:sz w:val="20"/>
      <w:szCs w:val="20"/>
    </w:rPr>
  </w:style>
  <w:style w:type="character" w:styleId="BalloonTextChar" w:customStyle="1">
    <w:name w:val="Balloon Text Char"/>
    <w:basedOn w:val="DefaultParagraphFont"/>
    <w:link w:val="BalloonText"/>
    <w:uiPriority w:val="99"/>
    <w:semiHidden/>
    <w:qFormat/>
    <w:rPr>
      <w:rFonts w:ascii="Segoe UI" w:hAnsi="Segoe UI" w:cs="Segoe UI"/>
      <w:sz w:val="18"/>
      <w:szCs w:val="18"/>
    </w:rPr>
  </w:style>
  <w:style w:type="character" w:styleId="CommentSubjectChar" w:customStyle="1">
    <w:name w:val="Comment Subject Char"/>
    <w:basedOn w:val="CommentTextChar"/>
    <w:link w:val="Annotationsubject"/>
    <w:uiPriority w:val="99"/>
    <w:semiHidden/>
    <w:qFormat/>
    <w:rPr>
      <w:b/>
      <w:bCs/>
      <w:color w:val="00000A"/>
      <w:sz w:val="20"/>
      <w:szCs w:val="20"/>
    </w:rPr>
  </w:style>
  <w:style w:type="paragraph" w:styleId="Heading" w:customStyle="1">
    <w:name w:val="Heading"/>
    <w:basedOn w:val="Normal"/>
    <w:next w:val="TextBody"/>
    <w:uiPriority w:val="0"/>
    <w:qFormat/>
    <w:pPr>
      <w:keepNext w:val="true"/>
      <w:spacing w:before="240" w:after="120"/>
    </w:pPr>
    <w:rPr>
      <w:rFonts w:ascii="Liberation Sans" w:hAnsi="Liberation Sans" w:eastAsia="Microsoft YaHei" w:cs="Arial"/>
      <w:sz w:val="28"/>
      <w:szCs w:val="28"/>
    </w:rPr>
  </w:style>
  <w:style w:type="paragraph" w:styleId="TextBody">
    <w:name w:val="Body Text"/>
    <w:basedOn w:val="Normal"/>
    <w:link w:val="BodyTextChar"/>
    <w:uiPriority w:val="0"/>
    <w:qFormat/>
    <w:pPr>
      <w:suppressAutoHyphens w:val="true"/>
      <w:spacing w:lineRule="auto" w:line="276" w:before="0" w:after="140"/>
    </w:pPr>
    <w:rPr>
      <w:color w:val="00000A"/>
    </w:rPr>
  </w:style>
  <w:style w:type="paragraph" w:styleId="List">
    <w:name w:val="List"/>
    <w:basedOn w:val="TextBody"/>
    <w:uiPriority w:val="0"/>
    <w:qForma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uiPriority w:val="0"/>
    <w:qFormat/>
    <w:pPr>
      <w:suppressLineNumbers/>
    </w:pPr>
    <w:rPr>
      <w:rFonts w:cs="Arial"/>
    </w:rPr>
  </w:style>
  <w:style w:type="paragraph" w:styleId="BalloonText">
    <w:name w:val="Balloon Text"/>
    <w:basedOn w:val="Normal"/>
    <w:link w:val="BalloonTextChar"/>
    <w:uiPriority w:val="99"/>
    <w:semiHidden/>
    <w:unhideWhenUsed/>
    <w:qFormat/>
    <w:pPr>
      <w:spacing w:lineRule="auto" w:line="240" w:before="0" w:after="0"/>
    </w:pPr>
    <w:rPr>
      <w:rFonts w:ascii="Segoe UI" w:hAnsi="Segoe UI" w:cs="Segoe UI"/>
      <w:sz w:val="18"/>
      <w:szCs w:val="18"/>
    </w:rPr>
  </w:style>
  <w:style w:type="paragraph" w:styleId="Caption1">
    <w:name w:val="caption"/>
    <w:basedOn w:val="Normal"/>
    <w:next w:val="Normal"/>
    <w:uiPriority w:val="0"/>
    <w:qFormat/>
    <w:pPr>
      <w:suppressLineNumbers/>
      <w:spacing w:before="120" w:after="120"/>
    </w:pPr>
    <w:rPr>
      <w:rFonts w:cs="Arial"/>
      <w:i/>
      <w:iCs/>
      <w:sz w:val="24"/>
      <w:szCs w:val="24"/>
    </w:rPr>
  </w:style>
  <w:style w:type="paragraph" w:styleId="Annotationtext">
    <w:name w:val="annotation text"/>
    <w:basedOn w:val="Normal"/>
    <w:link w:val="CommentTextChar"/>
    <w:uiPriority w:val="99"/>
    <w:semiHidden/>
    <w:unhideWhenUsed/>
    <w:qFormat/>
    <w:pPr>
      <w:suppressAutoHyphens w:val="true"/>
      <w:spacing w:lineRule="auto" w:line="240"/>
    </w:pPr>
    <w:rPr>
      <w:color w:val="00000A"/>
    </w:rPr>
  </w:style>
  <w:style w:type="paragraph" w:styleId="Annotationsubject">
    <w:name w:val="annotation subject"/>
    <w:basedOn w:val="Annotationtext"/>
    <w:next w:val="Annotationtext"/>
    <w:link w:val="CommentSubjectChar"/>
    <w:uiPriority w:val="99"/>
    <w:semiHidden/>
    <w:unhideWhenUsed/>
    <w:qFormat/>
    <w:pPr>
      <w:suppressAutoHyphens w:val="false"/>
    </w:pPr>
    <w:rPr>
      <w:b/>
      <w:bCs/>
      <w:color w:val="auto"/>
      <w:sz w:val="20"/>
      <w:szCs w:val="20"/>
    </w:rPr>
  </w:style>
  <w:style w:type="paragraph" w:styleId="HeaderandFooter" w:customStyle="1">
    <w:name w:val="Header and Footer"/>
    <w:basedOn w:val="Normal"/>
    <w:uiPriority w:val="0"/>
    <w:qFormat/>
    <w:pPr/>
    <w:rPr/>
  </w:style>
  <w:style w:type="paragraph" w:styleId="Footer">
    <w:name w:val="Footer"/>
    <w:basedOn w:val="Normal"/>
    <w:link w:val="FooterChar"/>
    <w:uiPriority w:val="99"/>
    <w:unhideWhenUsed/>
    <w:qFormat/>
    <w:pPr>
      <w:tabs>
        <w:tab w:val="clear" w:pos="720"/>
        <w:tab w:val="center" w:pos="4680" w:leader="none"/>
        <w:tab w:val="right" w:pos="9360" w:leader="none"/>
      </w:tabs>
      <w:suppressAutoHyphens w:val="true"/>
      <w:spacing w:lineRule="auto" w:line="240" w:before="0" w:after="0"/>
    </w:pPr>
    <w:rPr>
      <w:color w:val="00000A"/>
    </w:rPr>
  </w:style>
  <w:style w:type="paragraph" w:styleId="Header">
    <w:name w:val="Header"/>
    <w:basedOn w:val="Normal"/>
    <w:link w:val="HeaderChar"/>
    <w:uiPriority w:val="99"/>
    <w:unhideWhenUsed/>
    <w:qFormat/>
    <w:pPr>
      <w:tabs>
        <w:tab w:val="clear" w:pos="720"/>
        <w:tab w:val="center" w:pos="4680" w:leader="none"/>
        <w:tab w:val="right" w:pos="9360" w:leader="none"/>
      </w:tabs>
      <w:suppressAutoHyphens w:val="true"/>
      <w:spacing w:lineRule="auto" w:line="240" w:before="0" w:after="0"/>
    </w:pPr>
    <w:rPr>
      <w:color w:val="00000A"/>
    </w:rPr>
  </w:style>
  <w:style w:type="paragraph" w:styleId="NormalWeb">
    <w:name w:val="Normal (Web)"/>
    <w:basedOn w:val="Normal"/>
    <w:uiPriority w:val="99"/>
    <w:unhideWhenUsed/>
    <w:qFormat/>
    <w:pPr>
      <w:suppressAutoHyphens w:val="true"/>
      <w:spacing w:lineRule="auto" w:line="252"/>
    </w:pPr>
    <w:rPr>
      <w:color w:val="00000A"/>
      <w:sz w:val="24"/>
      <w:szCs w:val="24"/>
    </w:rPr>
  </w:style>
  <w:style w:type="paragraph" w:styleId="FrameContents" w:customStyle="1">
    <w:name w:val="Frame Contents"/>
    <w:basedOn w:val="Normal"/>
    <w:uiPriority w:val="0"/>
    <w:qFormat/>
    <w:pPr/>
    <w:rPr/>
  </w:style>
  <w:style w:type="paragraph" w:styleId="NormalWeb2" w:customStyle="1">
    <w:name w:val="Normal (Web)2"/>
    <w:basedOn w:val="Normal"/>
    <w:uiPriority w:val="7"/>
    <w:qFormat/>
    <w:pPr>
      <w:spacing w:before="280" w:after="280"/>
      <w:ind w:left="0" w:right="0" w:hanging="0"/>
      <w:jc w:val="left"/>
    </w:pPr>
    <w:rPr>
      <w:kern w:val="0"/>
      <w:sz w:val="24"/>
      <w:szCs w:val="24"/>
      <w:lang w:val="en-US" w:eastAsia="zh-CN" w:bidi="ar-SA"/>
    </w:rPr>
  </w:style>
  <w:style w:type="table" w:default="1" w:styleId="14">
    <w:name w:val="Normal Table"/>
    <w:uiPriority w:val="99"/>
    <w:semiHidden/>
    <w:unhideWhenUsed/>
    <w:qFormat/>
    <w:tblPr>
      <w:tblCellMar>
        <w:top w:w="0" w:type="dxa"/>
        <w:left w:w="108" w:type="dxa"/>
        <w:bottom w:w="0" w:type="dxa"/>
        <w:right w:w="108" w:type="dxa"/>
      </w:tblCellMar>
    </w:tblPr>
  </w:style>
  <w:style w:type="table" w:styleId="15">
    <w:name w:val="Table Grid"/>
    <w:basedOn w:val="14"/>
    <w:uiPriority w:val="0"/>
    <w:qFormat/>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8DD66546-4553-46DF-B201-D317821F0785}">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LibreOffice/7.5.7.1$Windows_X86_64 LibreOffice_project/47eb0cf7efbacdee9b19ae25d6752381ede23126</Application>
  <AppVersion>15.0000</AppVersion>
  <Pages>10</Pages>
  <Words>1308</Words>
  <Characters>8246</Characters>
  <CharactersWithSpaces>9462</CharactersWithSpaces>
  <Paragraphs>167</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2025-01-14T08:48:00Z</dcterms:created>
  <dc:creator>Daniel Poenaru</dc:creator>
  <dc:description/>
  <dc:language>en-US</dc:language>
  <cp:lastModifiedBy/>
  <cp:lastPrinted>2025-01-29T11:25:00Z</cp:lastPrinted>
  <dcterms:modified xsi:type="dcterms:W3CDTF">2025-02-03T11:42:41Z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1033-10.2.0.7456</vt:lpwstr>
  </property>
</Properties>
</file>