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3F" w:rsidRDefault="00D5443F">
      <w:pPr>
        <w:spacing w:after="0"/>
        <w:rPr>
          <w:rFonts w:ascii="Trajan Pro" w:hAnsi="Trajan Pro"/>
          <w:b/>
          <w:sz w:val="28"/>
          <w:szCs w:val="28"/>
        </w:rPr>
      </w:pPr>
      <w:bookmarkStart w:id="0" w:name="_GoBack"/>
      <w:bookmarkEnd w:id="0"/>
    </w:p>
    <w:p w:rsidR="00D5443F" w:rsidRDefault="00D5443F">
      <w:pPr>
        <w:spacing w:after="0"/>
        <w:rPr>
          <w:rFonts w:ascii="Trebuchet MS" w:hAnsi="Trebuchet MS" w:cs="Arial"/>
          <w:bCs/>
          <w:sz w:val="24"/>
          <w:szCs w:val="24"/>
          <w:lang w:val="ro-RO"/>
        </w:rPr>
      </w:pPr>
    </w:p>
    <w:p w:rsidR="00D5443F" w:rsidRDefault="00616252">
      <w:pPr>
        <w:widowControl/>
        <w:tabs>
          <w:tab w:val="left" w:pos="1260"/>
        </w:tabs>
        <w:overflowPunct w:val="0"/>
        <w:spacing w:after="289"/>
        <w:ind w:left="-1"/>
        <w:jc w:val="center"/>
        <w:rPr>
          <w:rFonts w:ascii="Trebuchet MS" w:hAnsi="Trebuchet MS" w:cs="Trebuchet MS"/>
          <w:b/>
          <w:bCs/>
          <w:color w:val="000000"/>
          <w:sz w:val="24"/>
          <w:szCs w:val="24"/>
          <w:lang w:val="ro-RO"/>
        </w:rPr>
      </w:pPr>
      <w:r>
        <w:rPr>
          <w:rFonts w:ascii="Trebuchet MS" w:hAnsi="Trebuchet MS" w:cs="Trebuchet MS"/>
          <w:b/>
          <w:bCs/>
          <w:color w:val="000000"/>
          <w:sz w:val="24"/>
          <w:szCs w:val="24"/>
          <w:lang w:val="ro-RO"/>
        </w:rPr>
        <w:t>Referat</w:t>
      </w:r>
    </w:p>
    <w:p w:rsidR="00D5443F" w:rsidRDefault="00616252">
      <w:pPr>
        <w:widowControl/>
        <w:tabs>
          <w:tab w:val="left" w:pos="1260"/>
        </w:tabs>
        <w:overflowPunct w:val="0"/>
        <w:spacing w:after="289"/>
        <w:ind w:left="-1"/>
        <w:jc w:val="center"/>
        <w:rPr>
          <w:rFonts w:ascii="Trebuchet MS" w:hAnsi="Trebuchet MS" w:cs="Trebuchet MS"/>
          <w:b/>
          <w:color w:val="000000"/>
          <w:sz w:val="24"/>
          <w:szCs w:val="24"/>
          <w:lang w:val="ro-RO"/>
        </w:rPr>
      </w:pPr>
      <w:r>
        <w:rPr>
          <w:rFonts w:ascii="Trebuchet MS" w:hAnsi="Trebuchet MS" w:cs="Trebuchet MS"/>
          <w:b/>
          <w:bCs/>
          <w:color w:val="000000"/>
          <w:sz w:val="24"/>
          <w:szCs w:val="24"/>
          <w:lang w:val="ro-RO"/>
        </w:rPr>
        <w:t xml:space="preserve">privind proiectul de ordin pentru modificarea și completarea Ordinului președintelui Agenției Naționale de Administrare Fiscală nr.2012/2016 pentru aprobarea Procedurii de modificare, din oficiu, a vectorului fiscal cu privire la TVA, precum şi </w:t>
      </w:r>
      <w:r>
        <w:rPr>
          <w:rFonts w:ascii="Trebuchet MS" w:hAnsi="Trebuchet MS" w:cs="Trebuchet MS"/>
          <w:b/>
          <w:bCs/>
          <w:color w:val="000000"/>
          <w:sz w:val="24"/>
          <w:szCs w:val="24"/>
          <w:lang w:val="ro-RO"/>
        </w:rPr>
        <w:t>a modelului şi conţinutului unor formulare, cu modificările și completările ulterioare</w:t>
      </w:r>
    </w:p>
    <w:p w:rsidR="00D5443F" w:rsidRDefault="00D5443F">
      <w:pPr>
        <w:widowControl/>
        <w:overflowPunct w:val="0"/>
        <w:spacing w:after="289"/>
        <w:jc w:val="both"/>
        <w:rPr>
          <w:rFonts w:ascii="Trebuchet MS" w:hAnsi="Trebuchet MS"/>
          <w:sz w:val="24"/>
          <w:szCs w:val="24"/>
          <w:lang w:val="ro-RO"/>
        </w:rPr>
      </w:pPr>
    </w:p>
    <w:p w:rsidR="00D5443F" w:rsidRDefault="00616252">
      <w:pPr>
        <w:widowControl/>
        <w:overflowPunct w:val="0"/>
        <w:spacing w:after="289"/>
        <w:jc w:val="both"/>
        <w:rPr>
          <w:rFonts w:ascii="Trebuchet MS" w:hAnsi="Trebuchet MS" w:cs="Trebuchet MS"/>
          <w:sz w:val="24"/>
          <w:szCs w:val="24"/>
          <w:lang w:val="ro-RO"/>
        </w:rPr>
      </w:pPr>
      <w:r>
        <w:rPr>
          <w:rFonts w:ascii="Trebuchet MS" w:hAnsi="Trebuchet MS"/>
          <w:sz w:val="24"/>
          <w:szCs w:val="24"/>
          <w:lang w:val="ro-RO"/>
        </w:rPr>
        <w:t>Prin Ordinul președintelui Agenției Naționale de Administrare Fiscală nr.2012/2016, cu modificările și completările ulterioare, s-a aprobat Procedura de modificare, din</w:t>
      </w:r>
      <w:r>
        <w:rPr>
          <w:rFonts w:ascii="Trebuchet MS" w:hAnsi="Trebuchet MS"/>
          <w:sz w:val="24"/>
          <w:szCs w:val="24"/>
          <w:lang w:val="ro-RO"/>
        </w:rPr>
        <w:t xml:space="preserve"> oficiu, a vectorului fiscal cu privire la TVA. Acest act normativ aprobă atât procedura de înregistrare, din oficiu, în scopuri de TVA, cât și procedura de anulare din oficiu, a înregistrării în scopuri de TVA, în situațiile prevăzute de art.316 alin.(11)</w:t>
      </w:r>
      <w:r>
        <w:rPr>
          <w:rFonts w:ascii="Trebuchet MS" w:hAnsi="Trebuchet MS"/>
          <w:sz w:val="24"/>
          <w:szCs w:val="24"/>
          <w:lang w:val="ro-RO"/>
        </w:rPr>
        <w:t xml:space="preserve"> lit.a)-f) din Legea nr.227/2015 privind Codul fiscal, cu modificările și completările ulterioare.</w:t>
      </w:r>
    </w:p>
    <w:p w:rsidR="00D5443F" w:rsidRDefault="00616252">
      <w:pPr>
        <w:pStyle w:val="NormalWeb"/>
        <w:widowControl/>
        <w:overflowPunct w:val="0"/>
        <w:spacing w:before="0" w:after="289"/>
        <w:jc w:val="both"/>
        <w:rPr>
          <w:rFonts w:ascii="Trebuchet MS" w:hAnsi="Trebuchet MS" w:cs="Trebuchet MS"/>
          <w:sz w:val="24"/>
          <w:szCs w:val="24"/>
          <w:lang w:val="ro-RO"/>
        </w:rPr>
      </w:pPr>
      <w:r>
        <w:rPr>
          <w:rFonts w:ascii="Trebuchet MS" w:hAnsi="Trebuchet MS" w:cs="Trebuchet MS"/>
          <w:sz w:val="24"/>
          <w:szCs w:val="24"/>
          <w:lang w:val="ro-RO"/>
        </w:rPr>
        <w:t xml:space="preserve">În scopul corelării prevederilor procedurale cu modificările legislative apărute ulterior, cu impact și în procedura de </w:t>
      </w:r>
      <w:r>
        <w:rPr>
          <w:rFonts w:ascii="Trebuchet MS" w:hAnsi="Trebuchet MS"/>
          <w:sz w:val="24"/>
          <w:szCs w:val="24"/>
          <w:lang w:val="ro-RO"/>
        </w:rPr>
        <w:t xml:space="preserve">modificare, din oficiu, a vectorului </w:t>
      </w:r>
      <w:r>
        <w:rPr>
          <w:rFonts w:ascii="Trebuchet MS" w:hAnsi="Trebuchet MS"/>
          <w:sz w:val="24"/>
          <w:szCs w:val="24"/>
          <w:lang w:val="ro-RO"/>
        </w:rPr>
        <w:t>fiscal cu privire la TVA, precum și pentru clarificarea unor aspecte procedurale propunem modificarea Ordinului președintelui Agenției Naționale de Administrare Fiscală nr.2012/2016, după cum urmează:</w:t>
      </w:r>
    </w:p>
    <w:p w:rsidR="00D5443F" w:rsidRDefault="00616252">
      <w:pPr>
        <w:numPr>
          <w:ilvl w:val="0"/>
          <w:numId w:val="1"/>
        </w:numPr>
        <w:jc w:val="both"/>
        <w:rPr>
          <w:rFonts w:ascii="Trebuchet MS" w:hAnsi="Trebuchet MS" w:cs="Trebuchet MS"/>
          <w:sz w:val="24"/>
          <w:szCs w:val="24"/>
          <w:lang w:val="ro-RO"/>
        </w:rPr>
      </w:pPr>
      <w:r>
        <w:rPr>
          <w:rFonts w:ascii="Trebuchet MS" w:hAnsi="Trebuchet MS" w:cs="Trebuchet MS"/>
          <w:sz w:val="24"/>
          <w:szCs w:val="24"/>
          <w:lang w:val="ro-RO"/>
        </w:rPr>
        <w:t>Modificarea titulaturii conducătorilor organelor fiscal</w:t>
      </w:r>
      <w:r>
        <w:rPr>
          <w:rFonts w:ascii="Trebuchet MS" w:hAnsi="Trebuchet MS" w:cs="Trebuchet MS"/>
          <w:sz w:val="24"/>
          <w:szCs w:val="24"/>
          <w:lang w:val="ro-RO"/>
        </w:rPr>
        <w:t>e teritoriale, având în vedere redenumirea serviciului fiscal municipal, a serviciului fiscal orăşenesc și a biroului fiscal comunal, ca unități fiscale, în urma reorganizării agenției.</w:t>
      </w:r>
    </w:p>
    <w:p w:rsidR="00D5443F" w:rsidRDefault="00616252">
      <w:pPr>
        <w:jc w:val="both"/>
        <w:rPr>
          <w:rFonts w:ascii="Trebuchet MS" w:hAnsi="Trebuchet MS" w:cs="Trebuchet MS"/>
          <w:sz w:val="24"/>
          <w:szCs w:val="24"/>
          <w:lang w:val="ro-RO"/>
        </w:rPr>
      </w:pPr>
      <w:r>
        <w:rPr>
          <w:rFonts w:ascii="Trebuchet MS" w:hAnsi="Trebuchet MS" w:cs="Trebuchet MS"/>
          <w:sz w:val="24"/>
          <w:szCs w:val="24"/>
          <w:lang w:val="ro-RO"/>
        </w:rPr>
        <w:t>2. Stabilirea în sarcina compartimentului de specialitate a obligației</w:t>
      </w:r>
      <w:r>
        <w:rPr>
          <w:rFonts w:ascii="Trebuchet MS" w:hAnsi="Trebuchet MS" w:cs="Trebuchet MS"/>
          <w:sz w:val="24"/>
          <w:szCs w:val="24"/>
          <w:lang w:val="ro-RO"/>
        </w:rPr>
        <w:t xml:space="preserve"> ca, după anularea înregistrării în scopuri de TVA a persoanei impozabile membră a unui grup fiscal de TVA, să procedeze la aplicarea prevederilor </w:t>
      </w:r>
      <w:r>
        <w:rPr>
          <w:rFonts w:ascii="Trebuchet MS" w:hAnsi="Trebuchet MS"/>
          <w:sz w:val="24"/>
          <w:szCs w:val="24"/>
          <w:lang w:val="ro-RO"/>
        </w:rPr>
        <w:t xml:space="preserve">Ordinului președintelui Agenției Naționale de Administrare Fiscală nr.3006/2016 privind aprobarea Procedurii </w:t>
      </w:r>
      <w:r>
        <w:rPr>
          <w:rFonts w:ascii="Trebuchet MS" w:hAnsi="Trebuchet MS"/>
          <w:sz w:val="24"/>
          <w:szCs w:val="24"/>
          <w:lang w:val="ro-RO"/>
        </w:rPr>
        <w:t>de implementare şi de administrare a grupului fiscal unic, precum şi pentru aprobarea modelului şi conţinutului unor formulare, cu modificările și completările ulterioare, în scopul scoaterii din grupul fiscal unic de TVA a persoanelor impozabile cărora li</w:t>
      </w:r>
      <w:r>
        <w:rPr>
          <w:rFonts w:ascii="Trebuchet MS" w:hAnsi="Trebuchet MS"/>
          <w:sz w:val="24"/>
          <w:szCs w:val="24"/>
          <w:lang w:val="ro-RO"/>
        </w:rPr>
        <w:t xml:space="preserve"> se anulează înregistrarea în scopuri de TVA.</w:t>
      </w:r>
      <w:r>
        <w:rPr>
          <w:rFonts w:ascii="Trebuchet MS" w:hAnsi="Trebuchet MS" w:cs="Trebuchet MS"/>
          <w:sz w:val="24"/>
          <w:szCs w:val="24"/>
          <w:lang w:val="ro-RO"/>
        </w:rPr>
        <w:t xml:space="preserve"> </w:t>
      </w:r>
    </w:p>
    <w:p w:rsidR="00D5443F" w:rsidRDefault="00616252">
      <w:pPr>
        <w:pStyle w:val="NormalWeb"/>
        <w:widowControl/>
        <w:overflowPunct w:val="0"/>
        <w:spacing w:before="0" w:after="289"/>
        <w:jc w:val="both"/>
        <w:rPr>
          <w:rFonts w:ascii="Trebuchet MS" w:hAnsi="Trebuchet MS" w:cs="Trebuchet MS"/>
          <w:sz w:val="24"/>
          <w:szCs w:val="24"/>
          <w:lang w:val="ro-RO"/>
        </w:rPr>
      </w:pPr>
      <w:r>
        <w:rPr>
          <w:rFonts w:ascii="Trebuchet MS" w:hAnsi="Trebuchet MS" w:cs="Trebuchet MS"/>
          <w:sz w:val="24"/>
          <w:szCs w:val="24"/>
          <w:lang w:val="ro-RO"/>
        </w:rPr>
        <w:t xml:space="preserve">3. Reglementarea situației înregistrării în scopuri de TVA la solicitarea organelor cu atribuții de control fiscal în sensul că decizia privind înregistrarea, din oficiu, în scopuri de TVA să fie emisă doar </w:t>
      </w:r>
      <w:r>
        <w:rPr>
          <w:rFonts w:ascii="Trebuchet MS" w:hAnsi="Trebuchet MS"/>
          <w:sz w:val="24"/>
          <w:szCs w:val="24"/>
        </w:rPr>
        <w:t>pe</w:t>
      </w:r>
      <w:r>
        <w:rPr>
          <w:rFonts w:ascii="Trebuchet MS" w:hAnsi="Trebuchet MS"/>
          <w:sz w:val="24"/>
          <w:szCs w:val="24"/>
        </w:rPr>
        <w:t xml:space="preserve"> baza actelor administrativ-fiscale</w:t>
      </w:r>
      <w:r>
        <w:rPr>
          <w:rFonts w:ascii="Trebuchet MS" w:hAnsi="Trebuchet MS"/>
          <w:sz w:val="24"/>
          <w:szCs w:val="24"/>
          <w:lang w:val="ro-RO"/>
        </w:rPr>
        <w:t xml:space="preserve"> emise de organul fiscal de control</w:t>
      </w:r>
      <w:r>
        <w:rPr>
          <w:rFonts w:ascii="Trebuchet MS" w:hAnsi="Trebuchet MS"/>
          <w:sz w:val="24"/>
          <w:szCs w:val="24"/>
        </w:rPr>
        <w:t xml:space="preserve"> rămase definitive prin neexercitarea căilor de atac prevăzute de lege sau prin hotărâre judecătorească definitivă, în situaţia în care acestea au fost atacate în justiţie.</w:t>
      </w:r>
      <w:r>
        <w:rPr>
          <w:rFonts w:ascii="Trebuchet MS" w:hAnsi="Trebuchet MS"/>
          <w:sz w:val="24"/>
          <w:szCs w:val="24"/>
          <w:lang w:val="ro-RO"/>
        </w:rPr>
        <w:t xml:space="preserve"> În acest sens</w:t>
      </w:r>
      <w:r>
        <w:rPr>
          <w:rFonts w:ascii="Trebuchet MS" w:hAnsi="Trebuchet MS"/>
          <w:sz w:val="24"/>
          <w:szCs w:val="24"/>
          <w:lang w:val="ro-RO"/>
        </w:rPr>
        <w:t xml:space="preserve">, vor putea fi evitate situațiile în care unii contribuabili sunt înregistrați în scopuri de TVA, din oficiu, dar actele de control pe baza cărora au fost înregistrate în scopuri de TVA sunt anulate/ desființate de organele de soluționare a contestațiilor </w:t>
      </w:r>
      <w:r>
        <w:rPr>
          <w:rFonts w:ascii="Trebuchet MS" w:hAnsi="Trebuchet MS"/>
          <w:sz w:val="24"/>
          <w:szCs w:val="24"/>
          <w:lang w:val="ro-RO"/>
        </w:rPr>
        <w:t>sau de către instanța ju</w:t>
      </w:r>
      <w:r>
        <w:rPr>
          <w:rFonts w:ascii="Trebuchet MS" w:hAnsi="Trebuchet MS" w:cs="Trebuchet MS"/>
          <w:sz w:val="24"/>
          <w:szCs w:val="24"/>
          <w:lang w:val="ro-RO"/>
        </w:rPr>
        <w:t>decătorească.</w:t>
      </w:r>
    </w:p>
    <w:p w:rsidR="00D5443F" w:rsidRDefault="00616252">
      <w:pPr>
        <w:pStyle w:val="NormalWeb"/>
        <w:widowControl/>
        <w:overflowPunct w:val="0"/>
        <w:spacing w:before="0" w:after="289"/>
        <w:jc w:val="both"/>
        <w:rPr>
          <w:rFonts w:ascii="Trebuchet MS" w:hAnsi="Trebuchet MS" w:cs="Trebuchet MS"/>
          <w:sz w:val="24"/>
          <w:szCs w:val="24"/>
          <w:lang w:val="ro-RO"/>
        </w:rPr>
      </w:pPr>
      <w:r>
        <w:rPr>
          <w:rFonts w:ascii="Trebuchet MS" w:hAnsi="Trebuchet MS" w:cs="Trebuchet MS"/>
          <w:sz w:val="24"/>
          <w:szCs w:val="24"/>
          <w:lang w:val="ro-RO"/>
        </w:rPr>
        <w:lastRenderedPageBreak/>
        <w:t>4. Stabilirea, în cadrul procedurii, a fluxului aplicabil în vederea asigurării exercitării dreptului de a fi ascultat, prevăzut de art.9 din Codul de procedură fiscală, înainte de luarea deciziei privind înregistrarea</w:t>
      </w:r>
      <w:r>
        <w:rPr>
          <w:rFonts w:ascii="Trebuchet MS" w:hAnsi="Trebuchet MS" w:cs="Trebuchet MS"/>
          <w:sz w:val="24"/>
          <w:szCs w:val="24"/>
          <w:lang w:val="ro-RO"/>
        </w:rPr>
        <w:t xml:space="preserve"> în scopuri de TVA, cu excepția situației în care situația a fost identificată de organele de control fiscal.</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sz w:val="24"/>
          <w:szCs w:val="24"/>
          <w:lang w:val="ro-RO"/>
        </w:rPr>
        <w:t>5. Modificarea formularului de ”Notificare privind înregistrarea, din oficiu, în scopuri de TVA, potrivit prevederilor art.316 alin.(10)/art.317 a</w:t>
      </w:r>
      <w:r>
        <w:rPr>
          <w:rFonts w:ascii="Trebuchet MS" w:hAnsi="Trebuchet MS"/>
          <w:sz w:val="24"/>
          <w:szCs w:val="24"/>
          <w:lang w:val="ro-RO"/>
        </w:rPr>
        <w:t>lin.(4) din Legea nr.227/2015 privind Codul fiscal, cu modificările şi completările ulterioare”, în scopul eliminării obligației persoanei notificate de a se prezenta la sediul organului fiscal pentru a depune declarația de mențiuni, în vederea solicitării</w:t>
      </w:r>
      <w:r>
        <w:rPr>
          <w:rFonts w:ascii="Trebuchet MS" w:hAnsi="Trebuchet MS"/>
          <w:sz w:val="24"/>
          <w:szCs w:val="24"/>
          <w:lang w:val="ro-RO"/>
        </w:rPr>
        <w:t xml:space="preserve"> înregistrării în scopuri de TVA. În prezent, este asigurată posibilitatea depunerii prin mijloace electronice de transmitere la distanță, de către toate categoriile de contribuabili, a formularului 700 ”Declaraţie pentru înregistrarea/modificarea în mediu</w:t>
      </w:r>
      <w:r>
        <w:rPr>
          <w:rFonts w:ascii="Trebuchet MS" w:hAnsi="Trebuchet MS"/>
          <w:sz w:val="24"/>
          <w:szCs w:val="24"/>
          <w:lang w:val="ro-RO"/>
        </w:rPr>
        <w:t xml:space="preserve"> electronic a menţiunilor ulterioare înregistrării fiscale, precum şi pentru radierea înregistrării fiscale” prin care se poate solicita și înregistrarea în scopuri de TVA.</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cs="Trebuchet MS"/>
          <w:sz w:val="24"/>
          <w:szCs w:val="24"/>
          <w:lang w:val="ro-RO"/>
        </w:rPr>
        <w:t xml:space="preserve">6.Aprobarea unei ”Invitații </w:t>
      </w:r>
      <w:r>
        <w:rPr>
          <w:rFonts w:ascii="Trebuchet MS" w:hAnsi="Trebuchet MS"/>
          <w:sz w:val="24"/>
          <w:szCs w:val="24"/>
          <w:lang w:val="ro-RO"/>
        </w:rPr>
        <w:t>privind exercitarea dreptului de a fi ascultat”, care v</w:t>
      </w:r>
      <w:r>
        <w:rPr>
          <w:rFonts w:ascii="Trebuchet MS" w:hAnsi="Trebuchet MS"/>
          <w:sz w:val="24"/>
          <w:szCs w:val="24"/>
          <w:lang w:val="ro-RO"/>
        </w:rPr>
        <w:t xml:space="preserve">a fi comunicată în cazul neprezentării contribuabilului la primul termen stabilit de organul fiscal în vederea audierii. În acest caz, potrivit art.9 din Codul de procedură fiscală, se acordă un nou termen pentru exercitarea dreptului de a fi ascultat, </w:t>
      </w:r>
      <w:r>
        <w:rPr>
          <w:rFonts w:ascii="Trebuchet MS" w:hAnsi="Trebuchet MS" w:cs="Trebuchet MS"/>
          <w:sz w:val="24"/>
          <w:szCs w:val="24"/>
          <w:lang w:val="ro-RO"/>
        </w:rPr>
        <w:t>pen</w:t>
      </w:r>
      <w:r>
        <w:rPr>
          <w:rFonts w:ascii="Trebuchet MS" w:hAnsi="Trebuchet MS" w:cs="Trebuchet MS"/>
          <w:sz w:val="24"/>
          <w:szCs w:val="24"/>
          <w:lang w:val="ro-RO"/>
        </w:rPr>
        <w:t xml:space="preserve">tru persoanele impozabile care, deși au fost notificate în vederea înregistrării în scopuri de TVA, </w:t>
      </w:r>
      <w:r>
        <w:rPr>
          <w:rFonts w:ascii="Trebuchet MS" w:hAnsi="Trebuchet MS"/>
          <w:sz w:val="24"/>
          <w:szCs w:val="24"/>
          <w:lang w:val="ro-RO"/>
        </w:rPr>
        <w:t>nu au depus declaraţia de menţiuni în vederea înregistrării în scopuri de TVA, nu s-au prezentat la sediul unităţii fiscale, în vederea audierii și nu au re</w:t>
      </w:r>
      <w:r>
        <w:rPr>
          <w:rFonts w:ascii="Trebuchet MS" w:hAnsi="Trebuchet MS"/>
          <w:sz w:val="24"/>
          <w:szCs w:val="24"/>
          <w:lang w:val="ro-RO"/>
        </w:rPr>
        <w:t>fuzat explicit să se prezinte la primul termen stabilit de organul fiscal în vederea audierii.</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sz w:val="24"/>
          <w:szCs w:val="24"/>
          <w:lang w:val="ro-RO"/>
        </w:rPr>
        <w:t xml:space="preserve">7. </w:t>
      </w:r>
      <w:r>
        <w:rPr>
          <w:rFonts w:ascii="Trebuchet MS" w:hAnsi="Trebuchet MS" w:cs="Trebuchet MS"/>
          <w:sz w:val="24"/>
          <w:szCs w:val="24"/>
          <w:lang w:val="ro-RO"/>
        </w:rPr>
        <w:t>Aprobarea unei ”Înștiințări privind sistarea procedurii de înregistrare, din oficiu,  în scopuri de TVA</w:t>
      </w:r>
      <w:r>
        <w:rPr>
          <w:rFonts w:ascii="Trebuchet MS" w:hAnsi="Trebuchet MS"/>
          <w:sz w:val="24"/>
          <w:szCs w:val="24"/>
          <w:lang w:val="ro-RO"/>
        </w:rPr>
        <w:t xml:space="preserve">”, care va fi comunicată în situațiile în care, fie contribuabilul solicită înregistrarea în scopuri de TVA, prin depunerea declarației de mențiuni, ulterior începerii procedurii de înregistrare în scopuri de TVA, fie acesta prezintă, în cadrul procedurii </w:t>
      </w:r>
      <w:r>
        <w:rPr>
          <w:rFonts w:ascii="Trebuchet MS" w:hAnsi="Trebuchet MS"/>
          <w:sz w:val="24"/>
          <w:szCs w:val="24"/>
          <w:lang w:val="ro-RO"/>
        </w:rPr>
        <w:t xml:space="preserve">de audiere, documente din care rezultă că nu avea obligația să solicite înregistrarea în scopuri de TVA. Pentru astfel de situații este necesară și completarea corespunzătoare a modelului de referat care se întocmește de organul fiscal.  </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sz w:val="24"/>
          <w:szCs w:val="24"/>
          <w:lang w:val="ro-RO"/>
        </w:rPr>
        <w:t>8</w:t>
      </w:r>
      <w:r>
        <w:rPr>
          <w:rFonts w:ascii="Trebuchet MS" w:hAnsi="Trebuchet MS" w:cs="Trebuchet MS"/>
          <w:sz w:val="24"/>
          <w:szCs w:val="24"/>
          <w:lang w:val="ro-RO"/>
        </w:rPr>
        <w:t>. Completarea pr</w:t>
      </w:r>
      <w:r>
        <w:rPr>
          <w:rFonts w:ascii="Trebuchet MS" w:hAnsi="Trebuchet MS" w:cs="Trebuchet MS"/>
          <w:sz w:val="24"/>
          <w:szCs w:val="24"/>
          <w:lang w:val="ro-RO"/>
        </w:rPr>
        <w:t xml:space="preserve">evederilor procedurale, în sensul că se anulează înregistrarea în scopuri de TVA, pentru persoanele impozabile care se încadrează în prevederile art.316 alin.(11) lit.d) din Codul fiscal, </w:t>
      </w:r>
      <w:r>
        <w:rPr>
          <w:rFonts w:ascii="Trebuchet MS" w:hAnsi="Trebuchet MS"/>
          <w:sz w:val="24"/>
          <w:szCs w:val="24"/>
          <w:lang w:val="ro-RO"/>
        </w:rPr>
        <w:t>chiar dacă pentru perioada respectivă există o decizie de impunere e</w:t>
      </w:r>
      <w:r>
        <w:rPr>
          <w:rFonts w:ascii="Trebuchet MS" w:hAnsi="Trebuchet MS"/>
          <w:sz w:val="24"/>
          <w:szCs w:val="24"/>
          <w:lang w:val="ro-RO"/>
        </w:rPr>
        <w:t>misă de organul de inspecție fiscală sau o decizie de impunere, din oficiu, emisă de organul fiscal competent, rămasă definitivă conform art.107 alin.(5) din Codul de procedură fiscală.</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cs="Trebuchet MS"/>
          <w:sz w:val="24"/>
          <w:szCs w:val="24"/>
          <w:lang w:val="ro-RO"/>
        </w:rPr>
        <w:t>Potrivit art.316 alin.(11) lit.d) din Codul fiscal  organul fiscal anu</w:t>
      </w:r>
      <w:r>
        <w:rPr>
          <w:rFonts w:ascii="Trebuchet MS" w:hAnsi="Trebuchet MS" w:cs="Trebuchet MS"/>
          <w:sz w:val="24"/>
          <w:szCs w:val="24"/>
          <w:lang w:val="ro-RO"/>
        </w:rPr>
        <w:t xml:space="preserve">lează, din oficiu, înregistrarea în scopuri de TVA, în cazul </w:t>
      </w:r>
      <w:r>
        <w:rPr>
          <w:rFonts w:ascii="Trebuchet MS" w:hAnsi="Trebuchet MS"/>
          <w:sz w:val="24"/>
          <w:szCs w:val="24"/>
          <w:lang w:val="ro-RO"/>
        </w:rPr>
        <w:t>persoanelor impozabile care nu au depus niciun decont de taxă pentru 6 luni consecutive (dacă utilizează luna calendaristică ca perioadă fiscală) sau, după caz, pentru două trimestre calendaristi</w:t>
      </w:r>
      <w:r>
        <w:rPr>
          <w:rFonts w:ascii="Trebuchet MS" w:hAnsi="Trebuchet MS"/>
          <w:sz w:val="24"/>
          <w:szCs w:val="24"/>
          <w:lang w:val="ro-RO"/>
        </w:rPr>
        <w:t>ce consecutive (dacă utilizează trimestrul calendaristic ca perioadă fiscală).</w:t>
      </w:r>
    </w:p>
    <w:p w:rsidR="00D5443F" w:rsidRDefault="00616252">
      <w:pPr>
        <w:pStyle w:val="NormalWeb"/>
        <w:widowControl/>
        <w:overflowPunct w:val="0"/>
        <w:spacing w:before="0" w:after="289"/>
        <w:jc w:val="both"/>
        <w:rPr>
          <w:rFonts w:ascii="Trebuchet MS" w:hAnsi="Trebuchet MS"/>
          <w:sz w:val="24"/>
          <w:szCs w:val="24"/>
          <w:lang w:val="ro-RO"/>
        </w:rPr>
      </w:pPr>
      <w:r>
        <w:rPr>
          <w:rFonts w:ascii="Trebuchet MS" w:hAnsi="Trebuchet MS"/>
          <w:sz w:val="24"/>
          <w:szCs w:val="24"/>
          <w:lang w:val="ro-RO"/>
        </w:rPr>
        <w:lastRenderedPageBreak/>
        <w:t>Însă, potrivit prevederilor art.107 din Codul de procedură fiscală, nedepunerea declarației de impunere dă dreptul organului fiscal să procedeze la stabilirea din oficiu a crean</w:t>
      </w:r>
      <w:r>
        <w:rPr>
          <w:rFonts w:ascii="Trebuchet MS" w:hAnsi="Trebuchet MS"/>
          <w:sz w:val="24"/>
          <w:szCs w:val="24"/>
          <w:lang w:val="ro-RO"/>
        </w:rPr>
        <w:t>ț</w:t>
      </w:r>
      <w:r>
        <w:rPr>
          <w:rFonts w:ascii="Trebuchet MS" w:hAnsi="Trebuchet MS"/>
          <w:sz w:val="24"/>
          <w:szCs w:val="24"/>
          <w:lang w:val="ro-RO"/>
        </w:rPr>
        <w:t xml:space="preserve">elor fiscale prin decizie de impunere, iar organele de inspecție fiscală stabilesc, prin decizie de impunere, obligații fiscale și pentru perioadele în care contribuabilul nu și-a îndeplinit obligațiile declarative. </w:t>
      </w:r>
    </w:p>
    <w:p w:rsidR="00D5443F" w:rsidRDefault="00616252">
      <w:pPr>
        <w:pStyle w:val="NormalWeb"/>
        <w:widowControl/>
        <w:overflowPunct w:val="0"/>
        <w:spacing w:before="0" w:after="289"/>
        <w:jc w:val="both"/>
        <w:rPr>
          <w:rFonts w:ascii="Trebuchet MS" w:hAnsi="Trebuchet MS" w:cs="Trebuchet MS"/>
          <w:sz w:val="24"/>
          <w:szCs w:val="24"/>
          <w:lang w:val="ro-RO"/>
        </w:rPr>
      </w:pPr>
      <w:r>
        <w:rPr>
          <w:rFonts w:ascii="Trebuchet MS" w:hAnsi="Trebuchet MS" w:cs="Trebuchet MS"/>
          <w:sz w:val="24"/>
          <w:szCs w:val="24"/>
          <w:lang w:val="ro-RO"/>
        </w:rPr>
        <w:t>Având în vedere caracterul sancționato</w:t>
      </w:r>
      <w:r>
        <w:rPr>
          <w:rFonts w:ascii="Trebuchet MS" w:hAnsi="Trebuchet MS" w:cs="Trebuchet MS"/>
          <w:sz w:val="24"/>
          <w:szCs w:val="24"/>
          <w:lang w:val="ro-RO"/>
        </w:rPr>
        <w:t>r al prevederilor art.316 alin.(11) din Codul fiscal, considerăm că, este necesară anularea înregistrării în scopuri de TVA a persoanelor impozabile care nu și-au îndeplinit obligațiile declarative, chiar dacă sumele datorate pentru perioadele fiscale resp</w:t>
      </w:r>
      <w:r>
        <w:rPr>
          <w:rFonts w:ascii="Trebuchet MS" w:hAnsi="Trebuchet MS" w:cs="Trebuchet MS"/>
          <w:sz w:val="24"/>
          <w:szCs w:val="24"/>
          <w:lang w:val="ro-RO"/>
        </w:rPr>
        <w:t>ective au fost stabilite de organele fiscale.</w:t>
      </w:r>
    </w:p>
    <w:sectPr w:rsidR="00D5443F">
      <w:headerReference w:type="default" r:id="rId9"/>
      <w:footerReference w:type="default" r:id="rId10"/>
      <w:pgSz w:w="11906" w:h="16838"/>
      <w:pgMar w:top="851" w:right="1238" w:bottom="777" w:left="1548" w:header="0" w:footer="72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252" w:rsidRDefault="00616252">
      <w:pPr>
        <w:spacing w:after="0" w:line="240" w:lineRule="auto"/>
      </w:pPr>
      <w:r>
        <w:separator/>
      </w:r>
    </w:p>
  </w:endnote>
  <w:endnote w:type="continuationSeparator" w:id="0">
    <w:p w:rsidR="00616252" w:rsidRDefault="00616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rajan Pro">
    <w:panose1 w:val="02020502050506020301"/>
    <w:charset w:val="00"/>
    <w:family w:val="roman"/>
    <w:pitch w:val="variable"/>
    <w:sig w:usb0="800000AF" w:usb1="5000204B" w:usb2="00000000" w:usb3="00000000" w:csb0="0000009B"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43F" w:rsidRDefault="00616252">
    <w:pPr>
      <w:pStyle w:val="Footer"/>
      <w:rPr>
        <w:rFonts w:ascii="Trebuchet MS" w:hAnsi="Trebuchet MS"/>
      </w:rPr>
    </w:pPr>
    <w:sdt>
      <w:sdtPr>
        <w:id w:val="2142104826"/>
      </w:sdtPr>
      <w:sdtEndPr/>
      <w:sdtContent/>
    </w:sdt>
  </w:p>
  <w:p w:rsidR="00D5443F" w:rsidRDefault="00616252">
    <w:pPr>
      <w:pStyle w:val="Footer"/>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sidR="00B46528">
      <w:rPr>
        <w:bCs/>
        <w:noProof/>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sidR="00B46528">
      <w:rPr>
        <w:bCs/>
        <w:noProof/>
        <w:sz w:val="24"/>
        <w:szCs w:val="24"/>
      </w:rPr>
      <w:t>3</w:t>
    </w:r>
    <w:r>
      <w:rPr>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252" w:rsidRDefault="00616252">
      <w:pPr>
        <w:spacing w:after="0" w:line="240" w:lineRule="auto"/>
      </w:pPr>
      <w:r>
        <w:separator/>
      </w:r>
    </w:p>
  </w:footnote>
  <w:footnote w:type="continuationSeparator" w:id="0">
    <w:p w:rsidR="00616252" w:rsidRDefault="006162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43F" w:rsidRDefault="00D5443F">
    <w:pPr>
      <w:pStyle w:val="Header"/>
      <w:rPr>
        <w:lang w:val="ro-RO"/>
      </w:rPr>
    </w:pPr>
  </w:p>
  <w:p w:rsidR="00D5443F" w:rsidRDefault="00616252">
    <w:pPr>
      <w:pStyle w:val="Header"/>
      <w:jc w:val="center"/>
      <w:rPr>
        <w:rFonts w:ascii="Trebuchet MS" w:hAnsi="Trebuchet MS" w:cs="Trebuchet MS"/>
        <w:b/>
        <w:bCs/>
        <w:sz w:val="24"/>
        <w:szCs w:val="24"/>
        <w:lang w:val="ro-RO"/>
      </w:rPr>
    </w:pPr>
    <w:r>
      <w:rPr>
        <w:rFonts w:ascii="Trebuchet MS" w:hAnsi="Trebuchet MS" w:cs="Trebuchet MS"/>
        <w:b/>
        <w:bCs/>
        <w:sz w:val="24"/>
        <w:szCs w:val="24"/>
        <w:lang w:val="ro-RO"/>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30" o:spid="_x0000_s2049" type="#_x0000_t136" style="position:absolute;left:0;text-align:left;margin-left:0;margin-top:0;width:409.2pt;height:177.9pt;z-index:251657728;mso-wrap-style:none;mso-position-horizontal:center;mso-position-horizontal-relative:margin;mso-position-vertical:center;mso-position-vertical-relative:margin;v-text-anchor:middle" o:allowincell="f" fillcolor="silver" stroked="f" strokecolor="#3465a4">
          <v:fill opacity=".5" color2="#3f3f3f" o:detectmouseclick="t"/>
          <v:textpath style="font-family:&quot;egoe U&quot;" trim="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5710B4"/>
    <w:multiLevelType w:val="multilevel"/>
    <w:tmpl w:val="FE64D0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1093413"/>
    <w:multiLevelType w:val="multilevel"/>
    <w:tmpl w:val="EC44A81C"/>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43F"/>
    <w:rsid w:val="00616252"/>
    <w:rsid w:val="00B46528"/>
    <w:rsid w:val="00D5443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03DAFF9-E77E-441E-BC43-9AF158F5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60" w:line="259" w:lineRule="auto"/>
    </w:pPr>
    <w:rPr>
      <w:rFonts w:asciiTheme="minorHAnsi" w:eastAsiaTheme="minorHAnsi" w:hAnsiTheme="minorHAnsi" w:cstheme="minorBidi"/>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Pr>
      <w:sz w:val="16"/>
      <w:szCs w:val="16"/>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yperlink1">
    <w:name w:val="Hyperlink1"/>
    <w:basedOn w:val="DefaultParagraphFont"/>
    <w:uiPriority w:val="99"/>
    <w:unhideWhenUsed/>
    <w:qFormat/>
    <w:rPr>
      <w:color w:val="0563C1" w:themeColor="hyperlink"/>
      <w:u w:val="single"/>
    </w:rPr>
  </w:style>
  <w:style w:type="character" w:customStyle="1" w:styleId="BalloonTextChar">
    <w:name w:val="Balloon Text Char"/>
    <w:basedOn w:val="DefaultParagraphFont"/>
    <w:link w:val="BalloonText"/>
    <w:uiPriority w:val="99"/>
    <w:semiHidden/>
    <w:qFormat/>
    <w:rPr>
      <w:rFonts w:ascii="Tahoma" w:eastAsiaTheme="minorHAnsi" w:hAnsi="Tahoma" w:cs="Tahoma"/>
      <w:sz w:val="16"/>
      <w:szCs w:val="16"/>
      <w:lang w:val="en-US" w:eastAsia="en-US"/>
    </w:rPr>
  </w:style>
  <w:style w:type="character" w:customStyle="1" w:styleId="rvts8">
    <w:name w:val="rvts8"/>
    <w:basedOn w:val="DefaultParagraphFont"/>
    <w:qFormat/>
  </w:style>
  <w:style w:type="character" w:customStyle="1" w:styleId="CommentTextChar">
    <w:name w:val="Comment Text Char"/>
    <w:basedOn w:val="DefaultParagraphFont"/>
    <w:link w:val="CommentText"/>
    <w:uiPriority w:val="99"/>
    <w:semiHidden/>
    <w:qFormat/>
    <w:rPr>
      <w:rFonts w:asciiTheme="minorHAnsi" w:eastAsiaTheme="minorHAnsi" w:hAnsiTheme="minorHAnsi" w:cstheme="minorBidi"/>
      <w:lang w:val="en-US" w:eastAsia="en-US"/>
    </w:rPr>
  </w:style>
  <w:style w:type="character" w:customStyle="1" w:styleId="CommentSubjectChar">
    <w:name w:val="Comment Subject Char"/>
    <w:basedOn w:val="CommentTextChar"/>
    <w:link w:val="CommentSubject"/>
    <w:uiPriority w:val="99"/>
    <w:semiHidden/>
    <w:qFormat/>
    <w:rPr>
      <w:rFonts w:asciiTheme="minorHAnsi" w:eastAsiaTheme="minorHAnsi" w:hAnsiTheme="minorHAnsi" w:cstheme="minorBidi"/>
      <w:b/>
      <w:bCs/>
      <w:lang w:val="en-US" w:eastAsia="en-US"/>
    </w:rPr>
  </w:style>
  <w:style w:type="character" w:customStyle="1" w:styleId="rvts9">
    <w:name w:val="rvts9"/>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qFormat/>
    <w:pPr>
      <w:spacing w:after="140" w:line="276" w:lineRule="auto"/>
    </w:pPr>
  </w:style>
  <w:style w:type="paragraph" w:styleId="List">
    <w:name w:val="List"/>
    <w:basedOn w:val="BodyText"/>
    <w:qFormat/>
    <w:rPr>
      <w:rFonts w:cs="Arial"/>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Arial"/>
    </w:r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customStyle="1" w:styleId="caption1">
    <w:name w:val="caption1"/>
    <w:basedOn w:val="Normal"/>
    <w:next w:val="Normal"/>
    <w:qFormat/>
    <w:pPr>
      <w:suppressLineNumbers/>
      <w:spacing w:before="120" w:after="120"/>
    </w:pPr>
    <w:rPr>
      <w:rFonts w:cs="Arial"/>
      <w:i/>
      <w:iCs/>
      <w:sz w:val="24"/>
      <w:szCs w:val="24"/>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customStyle="1" w:styleId="HeaderandFooter">
    <w:name w:val="Header and Footer"/>
    <w:basedOn w:val="Normal"/>
    <w:qFormat/>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qFormat/>
    <w:pPr>
      <w:spacing w:before="280" w:after="280"/>
    </w:pPr>
    <w:rPr>
      <w:color w:val="000000"/>
    </w:rPr>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DefaultText">
    <w:name w:val="Default Text"/>
    <w:basedOn w:val="Normal"/>
    <w:qFormat/>
  </w:style>
  <w:style w:type="paragraph" w:customStyle="1" w:styleId="western">
    <w:name w:val="western"/>
    <w:basedOn w:val="Normal"/>
    <w:qFormat/>
    <w:pPr>
      <w:spacing w:before="280" w:after="144" w:line="288" w:lineRule="auto"/>
    </w:pPr>
    <w:rPr>
      <w:color w:val="000000"/>
    </w:rPr>
  </w:style>
  <w:style w:type="paragraph" w:customStyle="1" w:styleId="DefaultText11">
    <w:name w:val="Default Text:1:1"/>
    <w:basedOn w:val="Normal"/>
    <w:qFormat/>
  </w:style>
  <w:style w:type="paragraph" w:customStyle="1" w:styleId="Default">
    <w:name w:val="Default"/>
    <w:uiPriority w:val="99"/>
    <w:unhideWhenUsed/>
    <w:qFormat/>
    <w:pPr>
      <w:widowControl w:val="0"/>
    </w:pPr>
    <w:rPr>
      <w:rFonts w:ascii="Trebuchet MS" w:eastAsia="Trebuchet MS" w:hAnsi="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C23AB8-39C4-4206-9410-39722187E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CRISTIAN-NICOLAE MARIN</dc:creator>
  <dc:description/>
  <cp:lastModifiedBy>OVIDIU-CRISTIAN CLIM</cp:lastModifiedBy>
  <cp:revision>2</cp:revision>
  <cp:lastPrinted>2024-11-13T10:55:00Z</cp:lastPrinted>
  <dcterms:created xsi:type="dcterms:W3CDTF">2024-11-14T12:24:00Z</dcterms:created>
  <dcterms:modified xsi:type="dcterms:W3CDTF">2024-11-14T12:24:00Z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ICV">
    <vt:lpwstr>45A35020F44E470BB51B4CEBF244AE25</vt:lpwstr>
  </property>
  <property fmtid="{D5CDD505-2E9C-101B-9397-08002B2CF9AE}" pid="4" name="KSOProductBuildVer">
    <vt:lpwstr>1033-10.2.0.7646</vt:lpwstr>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