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rajan Pro" w:hAnsi="Trajan Pro"/>
          <w:b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-681355</wp:posOffset>
            </wp:positionH>
            <wp:positionV relativeFrom="margin">
              <wp:posOffset>-233045</wp:posOffset>
            </wp:positionV>
            <wp:extent cx="899795" cy="899795"/>
            <wp:effectExtent l="0" t="0" r="0" b="0"/>
            <wp:wrapTight wrapText="bothSides">
              <wp:wrapPolygon>
                <wp:start x="6010" y="0"/>
                <wp:lineTo x="2760" y="1748"/>
                <wp:lineTo x="-497" y="5323"/>
                <wp:lineTo x="-497" y="15621"/>
                <wp:lineTo x="4624" y="20527"/>
                <wp:lineTo x="6010" y="20527"/>
                <wp:lineTo x="14445" y="20527"/>
                <wp:lineTo x="15830" y="20527"/>
                <wp:lineTo x="20989" y="15621"/>
                <wp:lineTo x="20989" y="5323"/>
                <wp:lineTo x="17704" y="1748"/>
                <wp:lineTo x="14445" y="0"/>
                <wp:lineTo x="601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3609340</wp:posOffset>
            </wp:positionH>
            <wp:positionV relativeFrom="paragraph">
              <wp:posOffset>127000</wp:posOffset>
            </wp:positionV>
            <wp:extent cx="2157730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895" t="37459" r="12559" b="37552"/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ajan Pro" w:hAnsi="Trajan Pro"/>
          <w:b/>
          <w:sz w:val="28"/>
          <w:szCs w:val="28"/>
        </w:rPr>
        <w:t xml:space="preserve">MINISTERUL FINANȚELOR       </w:t>
      </w:r>
    </w:p>
    <w:p>
      <w:pPr>
        <w:spacing w:after="46"/>
        <w:rPr>
          <w:rFonts w:ascii="Trebuchet MS" w:hAnsi="Trebuchet MS"/>
          <w:b/>
          <w:sz w:val="24"/>
          <w:szCs w:val="24"/>
          <w:lang w:val="ro-RO"/>
        </w:rPr>
      </w:pPr>
      <w:r>
        <w:rPr>
          <w:rFonts w:ascii="Trebuchet MS" w:hAnsi="Trebuchet MS"/>
          <w:b/>
          <w:sz w:val="24"/>
          <w:szCs w:val="24"/>
        </w:rPr>
        <w:t>Agen</w:t>
      </w:r>
      <w:r>
        <w:rPr>
          <w:rFonts w:ascii="Trebuchet MS" w:hAnsi="Trebuchet MS"/>
          <w:b/>
          <w:sz w:val="24"/>
          <w:szCs w:val="24"/>
          <w:lang w:val="ro-RO"/>
        </w:rPr>
        <w:t>ția Națională de Administrare Fiscală</w:t>
      </w:r>
    </w:p>
    <w:p>
      <w:pPr>
        <w:spacing w:after="46"/>
        <w:rPr>
          <w:rFonts w:ascii="Trebuchet MS" w:hAnsi="Trebuchet MS"/>
          <w:b/>
          <w:sz w:val="24"/>
          <w:szCs w:val="24"/>
          <w:lang w:val="ro-RO"/>
        </w:rPr>
      </w:pPr>
    </w:p>
    <w:p>
      <w:pPr>
        <w:spacing w:after="46"/>
        <w:rPr>
          <w:rFonts w:ascii="Trebuchet MS" w:hAnsi="Trebuchet MS"/>
          <w:b/>
          <w:sz w:val="24"/>
          <w:szCs w:val="24"/>
          <w:lang w:val="ro-RO"/>
        </w:rPr>
      </w:pPr>
    </w:p>
    <w:p>
      <w:pPr>
        <w:spacing w:after="46"/>
        <w:rPr>
          <w:rFonts w:ascii="Trebuchet MS" w:hAnsi="Trebuchet MS"/>
          <w:b/>
          <w:sz w:val="24"/>
          <w:szCs w:val="24"/>
          <w:lang w:val="ro-RO"/>
        </w:rPr>
      </w:pPr>
    </w:p>
    <w:p>
      <w:pPr>
        <w:spacing w:after="46"/>
        <w:rPr>
          <w:rFonts w:ascii="Trebuchet MS" w:hAnsi="Trebuchet MS"/>
          <w:b/>
          <w:sz w:val="24"/>
          <w:szCs w:val="24"/>
          <w:lang w:val="ro-R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440" w:leftChars="0" w:hanging="1440" w:hangingChars="600"/>
        <w:jc w:val="center"/>
        <w:textAlignment w:val="auto"/>
        <w:outlineLvl w:val="9"/>
        <w:rPr>
          <w:rFonts w:ascii="Trebuchet MS" w:hAnsi="Trebuchet MS" w:cs="Trebuchet MS"/>
          <w:color w:val="auto"/>
          <w:sz w:val="24"/>
          <w:szCs w:val="24"/>
          <w:lang w:val="ro-RO"/>
        </w:rPr>
      </w:pPr>
      <w:r>
        <w:rPr>
          <w:rFonts w:ascii="Trebuchet MS" w:hAnsi="Trebuchet MS"/>
          <w:color w:val="000000"/>
          <w:sz w:val="24"/>
          <w:szCs w:val="24"/>
          <w:lang w:val="en-US"/>
        </w:rPr>
        <w:t xml:space="preserve">          </w:t>
      </w:r>
      <w:r>
        <w:rPr>
          <w:rFonts w:ascii="Trebuchet MS" w:hAnsi="Trebuchet MS" w:cs="Trebuchet MS"/>
          <w:color w:val="auto"/>
          <w:sz w:val="24"/>
          <w:szCs w:val="24"/>
          <w:lang w:val="en-US"/>
        </w:rPr>
        <w:t xml:space="preserve">  </w:t>
      </w:r>
      <w:r>
        <w:rPr>
          <w:rFonts w:ascii="Trebuchet MS" w:hAnsi="Trebuchet MS" w:cs="Trebuchet MS"/>
          <w:color w:val="auto"/>
          <w:sz w:val="24"/>
          <w:szCs w:val="24"/>
          <w:lang w:val="pt-BR"/>
        </w:rPr>
        <w:t xml:space="preserve">Referat de aprobare a proiectului de ordin 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>al președintelui Agenției Naționale</w:t>
      </w:r>
      <w:r>
        <w:rPr>
          <w:rFonts w:ascii="Trebuchet MS" w:hAnsi="Trebuchet MS" w:cs="Trebuchet MS"/>
          <w:color w:val="auto"/>
          <w:sz w:val="24"/>
          <w:szCs w:val="24"/>
          <w:lang w:val="en-US"/>
        </w:rPr>
        <w:t xml:space="preserve"> 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>de</w:t>
      </w:r>
      <w:r>
        <w:rPr>
          <w:rFonts w:ascii="Trebuchet MS" w:hAnsi="Trebuchet MS" w:cs="Trebuchet MS"/>
          <w:color w:val="auto"/>
          <w:sz w:val="24"/>
          <w:szCs w:val="24"/>
          <w:lang w:val="en-US"/>
        </w:rPr>
        <w:t xml:space="preserve"> 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 xml:space="preserve">Administrare Fiscală </w:t>
      </w:r>
      <w:r>
        <w:rPr>
          <w:rFonts w:ascii="Trebuchet MS" w:hAnsi="Trebuchet MS" w:cs="Trebuchet MS"/>
          <w:color w:val="auto"/>
          <w:sz w:val="24"/>
          <w:szCs w:val="24"/>
          <w:lang w:val="pt-BR"/>
        </w:rPr>
        <w:t xml:space="preserve">pentru aprobarea 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>procedurii privind stabilirea sumei reprezentând până la 3,5% din impozitul pe venit pentru susținerea entităților nonprofit care se înființează și funcționează în condițiile legii și a unităților de cult, precum și pentru acordarea de burse private, conform legii, precum și a modelului și conținutului unor formulare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0" w:line="240" w:lineRule="auto"/>
        <w:textAlignment w:val="auto"/>
        <w:rPr>
          <w:rFonts w:ascii="Trebuchet MS" w:hAnsi="Trebuchet MS" w:cs="Arial"/>
          <w:color w:val="000000"/>
          <w:sz w:val="16"/>
          <w:szCs w:val="16"/>
          <w:lang w:val="ro-RO"/>
        </w:rPr>
      </w:pPr>
    </w:p>
    <w:p>
      <w:pPr>
        <w:spacing w:after="40" w:line="240" w:lineRule="auto"/>
        <w:rPr>
          <w:rFonts w:ascii="Trebuchet MS" w:hAnsi="Trebuchet MS" w:cs="Arial"/>
          <w:color w:val="000000"/>
          <w:sz w:val="16"/>
          <w:szCs w:val="16"/>
          <w:lang w:val="ro-RO"/>
        </w:rPr>
      </w:pPr>
    </w:p>
    <w:p>
      <w:pPr>
        <w:spacing w:after="40" w:line="240" w:lineRule="auto"/>
        <w:rPr>
          <w:rFonts w:ascii="Trebuchet MS" w:hAnsi="Trebuchet MS" w:cs="Arial"/>
          <w:color w:val="000000"/>
          <w:sz w:val="16"/>
          <w:szCs w:val="16"/>
          <w:lang w:val="ro-RO"/>
        </w:rPr>
      </w:pPr>
    </w:p>
    <w:p>
      <w:pPr>
        <w:spacing w:after="40" w:line="240" w:lineRule="auto"/>
        <w:rPr>
          <w:rFonts w:ascii="Trebuchet MS" w:hAnsi="Trebuchet MS" w:cs="Arial"/>
          <w:color w:val="000000"/>
          <w:sz w:val="16"/>
          <w:szCs w:val="16"/>
          <w:lang w:val="ro-RO"/>
        </w:rPr>
      </w:pPr>
      <w:r>
        <w:pict>
          <v:shape id="_x0000_s1026" o:spid="_x0000_s1026" o:spt="172" type="#_x0000_t172" style="position:absolute;left:0pt;margin-left:2.25pt;margin-top:11pt;height:386.65pt;width:443.5pt;rotation:-865639f;z-index:-251655168;mso-width-relative:page;mso-height-relative:page;" fillcolor="#000000" filled="t" stroked="f" coordsize="21600,21600">
            <v:path/>
            <v:fill on="t" opacity="13107f" focussize="0,0"/>
            <v:stroke on="f"/>
            <v:imagedata o:title=""/>
            <o:lock v:ext="edit"/>
            <v:textpath on="t" fitshape="t" fitpath="t" trim="t" xscale="f" string="PROIECT" style="font-family:Arial Black;font-size:80pt;v-text-align:center;"/>
          </v:shape>
        </w:pict>
      </w:r>
    </w:p>
    <w:p>
      <w:pPr>
        <w:autoSpaceDE w:val="0"/>
        <w:autoSpaceDN w:val="0"/>
        <w:adjustRightInd w:val="0"/>
        <w:ind w:left="0" w:leftChars="0" w:firstLine="0" w:firstLineChars="0"/>
        <w:jc w:val="both"/>
        <w:rPr>
          <w:rFonts w:ascii="Trebuchet MS" w:hAnsi="Trebuchet MS" w:cs="Trebuchet MS"/>
          <w:color w:val="auto"/>
          <w:sz w:val="24"/>
          <w:szCs w:val="24"/>
          <w:lang w:val="pt-BR"/>
        </w:rPr>
      </w:pPr>
      <w:r>
        <w:rPr>
          <w:rFonts w:ascii="Trebuchet MS" w:hAnsi="Trebuchet MS" w:cs="Trebuchet MS"/>
          <w:color w:val="auto"/>
          <w:sz w:val="24"/>
          <w:szCs w:val="24"/>
          <w:lang w:val="ro-RO"/>
        </w:rPr>
        <w:t xml:space="preserve">Prin Ordonanța de urgență a Guvernului nr.115/2023 privind unele măsuri fiscal-bugetare în domeniul cheltuielilor publice, pentru consolidare fiscală, combaterea evaziunii fiscale, pentru modificarea şi completarea unor acte normative, precum şi pentru prorogarea unor termene, începând cu data de 1 ianuarie 2024, au fost aduse o serie de modificări Legii nr.227/2015 privind Codul fiscal în ceea ce privește </w:t>
      </w:r>
      <w:r>
        <w:rPr>
          <w:rFonts w:ascii="Trebuchet MS" w:hAnsi="Trebuchet MS" w:cs="Trebuchet MS"/>
          <w:color w:val="auto"/>
          <w:sz w:val="24"/>
          <w:szCs w:val="24"/>
          <w:lang w:val="pt-BR"/>
        </w:rPr>
        <w:t xml:space="preserve">dispozițiile privind direcționarea unei sume din impozitul 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>pe venit</w:t>
      </w:r>
      <w:r>
        <w:rPr>
          <w:rFonts w:ascii="Trebuchet MS" w:hAnsi="Trebuchet MS" w:cs="Trebuchet MS"/>
          <w:color w:val="auto"/>
          <w:sz w:val="24"/>
          <w:szCs w:val="24"/>
          <w:lang w:val="pt-BR"/>
        </w:rPr>
        <w:t xml:space="preserve"> pentru susținerea entităților nonprofit/unităților de cult sau pentru acordarea de burse private.</w:t>
      </w:r>
    </w:p>
    <w:p>
      <w:pPr>
        <w:autoSpaceDE w:val="0"/>
        <w:autoSpaceDN w:val="0"/>
        <w:adjustRightInd w:val="0"/>
        <w:ind w:left="0" w:leftChars="0" w:firstLine="0" w:firstLineChars="0"/>
        <w:jc w:val="both"/>
        <w:rPr>
          <w:rFonts w:ascii="Trebuchet MS" w:hAnsi="Trebuchet MS" w:cs="Trebuchet MS"/>
          <w:color w:val="auto"/>
          <w:sz w:val="24"/>
          <w:szCs w:val="24"/>
          <w:lang w:val="ro-RO"/>
        </w:rPr>
      </w:pPr>
      <w:r>
        <w:rPr>
          <w:rFonts w:ascii="Trebuchet MS" w:hAnsi="Trebuchet MS" w:cs="Trebuchet MS"/>
          <w:color w:val="auto"/>
          <w:sz w:val="24"/>
          <w:szCs w:val="24"/>
          <w:lang w:val="ro-RO"/>
        </w:rPr>
        <w:t>Modificările legislative au vizat, în principal următoarele aspecte:</w:t>
      </w:r>
    </w:p>
    <w:p>
      <w:pPr>
        <w:numPr>
          <w:ilvl w:val="0"/>
          <w:numId w:val="1"/>
        </w:numPr>
        <w:autoSpaceDE w:val="0"/>
        <w:autoSpaceDN w:val="0"/>
        <w:adjustRightInd w:val="0"/>
        <w:ind w:left="0" w:leftChars="0" w:firstLine="0" w:firstLineChars="0"/>
        <w:jc w:val="both"/>
        <w:rPr>
          <w:rFonts w:ascii="Trebuchet MS" w:hAnsi="Trebuchet MS" w:cs="Trebuchet MS"/>
          <w:color w:val="auto"/>
          <w:sz w:val="24"/>
          <w:szCs w:val="24"/>
          <w:lang w:val="ro-RO" w:eastAsia="en-US"/>
        </w:rPr>
      </w:pPr>
      <w:r>
        <w:rPr>
          <w:rFonts w:ascii="Trebuchet MS" w:hAnsi="Trebuchet MS" w:cs="Trebuchet MS"/>
          <w:color w:val="auto"/>
          <w:sz w:val="24"/>
          <w:szCs w:val="24"/>
          <w:lang w:val="ro-RO" w:eastAsia="en-US"/>
        </w:rPr>
        <w:t xml:space="preserve">Restrângerea sferei de cuprindere a categoriilor de venit pentru care contribuabilii  pot </w:t>
      </w:r>
      <w:r>
        <w:rPr>
          <w:rFonts w:hint="default" w:ascii="Trebuchet MS" w:hAnsi="Trebuchet MS" w:cs="Trebuchet MS"/>
          <w:color w:val="auto"/>
          <w:sz w:val="24"/>
          <w:szCs w:val="24"/>
          <w:lang w:val="en-US"/>
        </w:rPr>
        <w:t>dispune asupra destinaţiei unei sume reprezentând până la 3,5% din impozitul</w:t>
      </w:r>
      <w:r>
        <w:rPr>
          <w:rFonts w:hint="default" w:ascii="Trebuchet MS" w:hAnsi="Trebuchet MS" w:cs="Trebuchet MS"/>
          <w:color w:val="auto"/>
          <w:sz w:val="24"/>
          <w:szCs w:val="24"/>
          <w:lang w:val="ro-RO"/>
        </w:rPr>
        <w:t xml:space="preserve"> pe venit</w:t>
      </w:r>
      <w:r>
        <w:rPr>
          <w:rFonts w:hint="default" w:ascii="Trebuchet MS" w:hAnsi="Trebuchet MS" w:cs="Trebuchet MS"/>
          <w:color w:val="auto"/>
          <w:sz w:val="24"/>
          <w:szCs w:val="24"/>
          <w:lang w:val="en-US"/>
        </w:rPr>
        <w:t xml:space="preserve"> </w:t>
      </w:r>
      <w:r>
        <w:rPr>
          <w:rFonts w:hint="default" w:ascii="Trebuchet MS" w:hAnsi="Trebuchet MS" w:cs="Trebuchet MS"/>
          <w:color w:val="auto"/>
          <w:sz w:val="24"/>
          <w:szCs w:val="24"/>
          <w:lang w:val="ro-RO"/>
        </w:rPr>
        <w:t>pentru</w:t>
      </w:r>
      <w:r>
        <w:rPr>
          <w:rFonts w:ascii="Trebuchet MS" w:hAnsi="Trebuchet MS" w:cs="Trebuchet MS"/>
          <w:color w:val="auto"/>
          <w:sz w:val="24"/>
          <w:szCs w:val="24"/>
          <w:lang w:val="ro-RO" w:eastAsia="en-US"/>
        </w:rPr>
        <w:t xml:space="preserve"> susținerea entităților nonprofit/unităților de cult sau</w:t>
      </w:r>
      <w:r>
        <w:rPr>
          <w:rFonts w:hint="default" w:ascii="Trebuchet MS" w:hAnsi="Trebuchet MS" w:cs="Trebuchet MS"/>
          <w:color w:val="auto"/>
          <w:sz w:val="24"/>
          <w:szCs w:val="24"/>
          <w:lang w:val="en-US"/>
        </w:rPr>
        <w:t xml:space="preserve"> pentru acordarea de burse private,</w:t>
      </w:r>
      <w:r>
        <w:rPr>
          <w:rFonts w:hint="default" w:ascii="Trebuchet MS" w:hAnsi="Trebuchet MS" w:cs="Trebuchet MS"/>
          <w:color w:val="auto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color w:val="auto"/>
          <w:sz w:val="24"/>
          <w:szCs w:val="24"/>
          <w:lang w:val="ro-RO" w:eastAsia="en-US"/>
        </w:rPr>
        <w:t>începând cu data de 1 ianuarie 2024</w:t>
      </w:r>
      <w:r>
        <w:rPr>
          <w:rFonts w:hint="default" w:ascii="Trebuchet MS" w:hAnsi="Trebuchet MS" w:cs="Trebuchet MS"/>
          <w:color w:val="auto"/>
          <w:sz w:val="24"/>
          <w:szCs w:val="24"/>
          <w:lang w:val="en-US"/>
        </w:rPr>
        <w:t>.</w:t>
      </w:r>
    </w:p>
    <w:p>
      <w:pPr>
        <w:numPr>
          <w:ilvl w:val="0"/>
          <w:numId w:val="0"/>
        </w:numPr>
        <w:autoSpaceDE w:val="0"/>
        <w:autoSpaceDN w:val="0"/>
        <w:adjustRightInd w:val="0"/>
        <w:jc w:val="both"/>
        <w:rPr>
          <w:rFonts w:hint="default" w:ascii="Trebuchet MS" w:hAnsi="Trebuchet MS" w:cs="Trebuchet MS" w:eastAsiaTheme="minorHAnsi"/>
          <w:i w:val="0"/>
          <w:sz w:val="24"/>
          <w:szCs w:val="24"/>
          <w:lang w:val="ro-RO"/>
        </w:rPr>
      </w:pPr>
      <w:r>
        <w:rPr>
          <w:rFonts w:ascii="Trebuchet MS" w:hAnsi="Trebuchet MS" w:cs="Trebuchet MS"/>
          <w:color w:val="auto"/>
          <w:sz w:val="24"/>
          <w:szCs w:val="24"/>
          <w:lang w:val="ro-RO" w:eastAsia="en-US"/>
        </w:rPr>
        <w:t xml:space="preserve">Începând cu data menționată, dispozițiile privind direcționarea </w:t>
      </w:r>
      <w:r>
        <w:rPr>
          <w:rFonts w:ascii="Trebuchet MS" w:hAnsi="Trebuchet MS" w:cs="Trebuchet MS"/>
          <w:color w:val="auto"/>
          <w:sz w:val="24"/>
          <w:szCs w:val="24"/>
          <w:lang w:val="en-US" w:eastAsia="en-US"/>
        </w:rPr>
        <w:t xml:space="preserve">unei </w:t>
      </w:r>
      <w:r>
        <w:rPr>
          <w:rFonts w:ascii="Trebuchet MS" w:hAnsi="Trebuchet MS" w:cs="Trebuchet MS"/>
          <w:color w:val="auto"/>
          <w:sz w:val="24"/>
          <w:szCs w:val="24"/>
          <w:lang w:val="ro-RO" w:eastAsia="en-US"/>
        </w:rPr>
        <w:t xml:space="preserve">sume din impozitul pe venit </w:t>
      </w:r>
      <w:r>
        <w:rPr>
          <w:rFonts w:ascii="Trebuchet MS" w:hAnsi="Trebuchet MS" w:cs="Trebuchet MS"/>
          <w:color w:val="auto"/>
          <w:sz w:val="24"/>
          <w:szCs w:val="24"/>
          <w:lang w:val="pt-BR"/>
        </w:rPr>
        <w:t>pentru susținerea entităților nonprofit/unităților de cult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 xml:space="preserve">, </w:t>
      </w:r>
      <w:r>
        <w:rPr>
          <w:rFonts w:ascii="Trebuchet MS" w:hAnsi="Trebuchet MS" w:cs="Trebuchet MS"/>
          <w:color w:val="auto"/>
          <w:sz w:val="24"/>
          <w:szCs w:val="24"/>
          <w:lang w:val="ro-RO" w:eastAsia="en-US"/>
        </w:rPr>
        <w:t xml:space="preserve">vizează numai </w:t>
      </w:r>
      <w:r>
        <w:rPr>
          <w:rFonts w:ascii="Trebuchet MS" w:hAnsi="Trebuchet MS" w:cs="Trebuchet MS"/>
          <w:color w:val="auto"/>
          <w:sz w:val="24"/>
          <w:szCs w:val="24"/>
          <w:lang w:val="it-IT" w:eastAsia="en-US"/>
        </w:rPr>
        <w:t>contribuabili</w:t>
      </w:r>
      <w:r>
        <w:rPr>
          <w:rFonts w:ascii="Trebuchet MS" w:hAnsi="Trebuchet MS" w:cs="Trebuchet MS"/>
          <w:color w:val="auto"/>
          <w:sz w:val="24"/>
          <w:szCs w:val="24"/>
          <w:lang w:val="ro-RO" w:eastAsia="en-US"/>
        </w:rPr>
        <w:t>i</w:t>
      </w:r>
      <w:r>
        <w:rPr>
          <w:rFonts w:ascii="Trebuchet MS" w:hAnsi="Trebuchet MS" w:cs="Trebuchet MS"/>
          <w:color w:val="auto"/>
          <w:sz w:val="24"/>
          <w:szCs w:val="24"/>
          <w:lang w:val="it-IT" w:eastAsia="en-US"/>
        </w:rPr>
        <w:t xml:space="preserve"> care realizează venituri din salarii și</w:t>
      </w:r>
      <w:r>
        <w:rPr>
          <w:rFonts w:ascii="Trebuchet MS" w:hAnsi="Trebuchet MS" w:cs="Trebuchet MS"/>
          <w:color w:val="auto"/>
          <w:sz w:val="24"/>
          <w:szCs w:val="24"/>
          <w:lang w:val="ro-RO" w:eastAsia="en-US"/>
        </w:rPr>
        <w:t xml:space="preserve"> asimilate salariilor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. Contribuabilii menționați depun în acest scop formularul 230, până la </w:t>
      </w:r>
      <w:r>
        <w:rPr>
          <w:rFonts w:hint="default" w:ascii="Trebuchet MS" w:hAnsi="Trebuchet MS" w:cs="Trebuchet MS" w:eastAsiaTheme="minorHAnsi"/>
          <w:i w:val="0"/>
          <w:sz w:val="24"/>
          <w:szCs w:val="24"/>
          <w:lang w:val="ro-RO"/>
        </w:rPr>
        <w:t xml:space="preserve">data de 25 mai inclusiv, a anului următor celui de realizare a veniturilor, sub sancţiunea decăderii. </w:t>
      </w:r>
    </w:p>
    <w:p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 w:cs="Trebuchet MS"/>
          <w:color w:val="auto"/>
          <w:sz w:val="24"/>
          <w:szCs w:val="24"/>
          <w:lang w:val="ro-RO"/>
        </w:rPr>
      </w:pPr>
      <w:r>
        <w:rPr>
          <w:rFonts w:hint="default" w:ascii="Trebuchet MS" w:hAnsi="Trebuchet MS" w:cs="Trebuchet MS"/>
          <w:i w:val="0"/>
          <w:sz w:val="24"/>
          <w:szCs w:val="24"/>
          <w:lang w:val="ro-RO"/>
        </w:rPr>
        <w:t>Comunicarea de către organul fiscal competent, către entitățile beneficiare,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 xml:space="preserve"> în baza acordului scris exprimat de contribuabili, a informațiilor referitoare la sumele direcționate, codul numeric personal/numărul de identificare fiscală</w:t>
      </w:r>
      <w:r>
        <w:rPr>
          <w:rFonts w:ascii="Trebuchet MS" w:hAnsi="Trebuchet MS" w:cs="Trebuchet MS"/>
          <w:color w:val="auto"/>
          <w:sz w:val="24"/>
          <w:szCs w:val="24"/>
          <w:lang w:val="en-US"/>
        </w:rPr>
        <w:t xml:space="preserve"> 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 xml:space="preserve">și denumirea contribuabililor care au direcționat sumele, potrivit </w:t>
      </w:r>
      <w:r>
        <w:rPr>
          <w:rFonts w:hint="default" w:ascii="Trebuchet MS" w:hAnsi="Trebuchet MS" w:cs="Trebuchet MS"/>
          <w:b w:val="0"/>
          <w:bCs w:val="0"/>
          <w:iCs w:val="0"/>
          <w:color w:val="auto"/>
          <w:sz w:val="24"/>
          <w:szCs w:val="24"/>
          <w:shd w:val="clear" w:color="auto" w:fill="auto"/>
          <w:lang w:val="ro-RO"/>
        </w:rPr>
        <w:t>dispozițiilor art.LV din Ordonanța de urgență a Guvernului nr.115/2023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>.</w:t>
      </w:r>
    </w:p>
    <w:p>
      <w:pPr>
        <w:autoSpaceDE w:val="0"/>
        <w:autoSpaceDN w:val="0"/>
        <w:adjustRightInd w:val="0"/>
        <w:ind w:firstLine="0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kern w:val="0"/>
          <w:sz w:val="24"/>
          <w:szCs w:val="24"/>
          <w:lang w:val="ro-RO" w:eastAsia="en-US"/>
        </w:rPr>
        <w:t xml:space="preserve">Ca urmare, </w:t>
      </w:r>
      <w:r>
        <w:rPr>
          <w:rFonts w:hint="default" w:ascii="Trebuchet MS" w:hAnsi="Trebuchet MS" w:cs="Trebuchet MS"/>
          <w:sz w:val="24"/>
          <w:szCs w:val="24"/>
          <w:lang w:val="ro-RO"/>
        </w:rPr>
        <w:t>prin proiectul de ordin se propun următoarele:</w:t>
      </w:r>
    </w:p>
    <w:p>
      <w:pPr>
        <w:numPr>
          <w:ilvl w:val="0"/>
          <w:numId w:val="3"/>
        </w:numPr>
        <w:tabs>
          <w:tab w:val="left" w:pos="0"/>
          <w:tab w:val="clear" w:pos="1429"/>
        </w:tabs>
        <w:autoSpaceDE w:val="0"/>
        <w:autoSpaceDN w:val="0"/>
        <w:adjustRightInd w:val="0"/>
        <w:ind w:left="0" w:firstLine="106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aprobarea modelului și conținutului unor formulare utilizate în procesul de stabilire a sumei reprezentând până la 3,5% din impozitul pe venit pentru susținerea entităților nonprofit/unităților de cult sau pentru acordarea de burse private:</w:t>
      </w:r>
    </w:p>
    <w:p>
      <w:pPr>
        <w:numPr>
          <w:ilvl w:val="1"/>
          <w:numId w:val="4"/>
        </w:numPr>
        <w:tabs>
          <w:tab w:val="left" w:pos="0"/>
          <w:tab w:val="clear" w:pos="2149"/>
        </w:tabs>
        <w:autoSpaceDE w:val="0"/>
        <w:autoSpaceDN w:val="0"/>
        <w:adjustRightInd w:val="0"/>
        <w:ind w:left="0" w:firstLine="178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230 „Cerere privind destinaţia sumei reprezentând până la 3,5% din impozitul anual 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pe veniturile din salarii </w:t>
      </w:r>
      <w:r>
        <w:rPr>
          <w:rFonts w:hint="default" w:ascii="Trebuchet MS" w:hAnsi="Trebuchet MS" w:cs="Trebuchet MS"/>
          <w:sz w:val="24"/>
          <w:szCs w:val="24"/>
          <w:lang w:val="ro-RO"/>
        </w:rPr>
        <w:t>și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 asimilate salariilor</w:t>
      </w:r>
      <w:r>
        <w:rPr>
          <w:rFonts w:hint="default" w:ascii="Trebuchet MS" w:hAnsi="Trebuchet MS" w:cs="Trebuchet MS"/>
          <w:sz w:val="24"/>
          <w:szCs w:val="24"/>
          <w:lang w:val="ro-RO"/>
        </w:rPr>
        <w:t>” și „Anexa nr....la Cererea privind destinaţia sumei reprezentând până la 3,5% din impozitul anual pe veniturile din salarii și asimilate salariilor”;</w:t>
      </w:r>
    </w:p>
    <w:p>
      <w:pPr>
        <w:numPr>
          <w:ilvl w:val="1"/>
          <w:numId w:val="4"/>
        </w:numPr>
        <w:tabs>
          <w:tab w:val="left" w:pos="0"/>
          <w:tab w:val="clear" w:pos="2149"/>
        </w:tabs>
        <w:autoSpaceDE w:val="0"/>
        <w:autoSpaceDN w:val="0"/>
        <w:adjustRightInd w:val="0"/>
        <w:ind w:left="0" w:firstLine="178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255 „Decizie privind stabilirea cheltuielilor admise cu bursele private”;</w:t>
      </w:r>
    </w:p>
    <w:p>
      <w:pPr>
        <w:numPr>
          <w:ilvl w:val="1"/>
          <w:numId w:val="4"/>
        </w:numPr>
        <w:tabs>
          <w:tab w:val="left" w:pos="-120"/>
          <w:tab w:val="clear" w:pos="2149"/>
        </w:tabs>
        <w:autoSpaceDE w:val="0"/>
        <w:autoSpaceDN w:val="0"/>
        <w:adjustRightInd w:val="0"/>
        <w:ind w:left="0" w:firstLine="178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258 „</w:t>
      </w:r>
      <w:r>
        <w:rPr>
          <w:rFonts w:hint="default" w:ascii="Trebuchet MS" w:hAnsi="Trebuchet MS" w:cs="Trebuchet MS"/>
          <w:color w:val="000000"/>
          <w:sz w:val="24"/>
          <w:szCs w:val="24"/>
          <w:lang w:val="ro-RO"/>
        </w:rPr>
        <w:t xml:space="preserve">Decizie privind </w:t>
      </w:r>
      <w:r>
        <w:rPr>
          <w:rFonts w:hint="default" w:ascii="Trebuchet MS" w:hAnsi="Trebuchet MS" w:cs="Trebuchet MS"/>
          <w:sz w:val="24"/>
          <w:szCs w:val="24"/>
          <w:lang w:val="ro-RO"/>
        </w:rPr>
        <w:t>recuperarea sumei reprezentând până la 3,5% din impozitul anual datorat, virată în mod necuvenit entităților nonprofit/unităților de cult”;</w:t>
      </w:r>
    </w:p>
    <w:p>
      <w:pPr>
        <w:numPr>
          <w:ilvl w:val="1"/>
          <w:numId w:val="4"/>
        </w:numPr>
        <w:tabs>
          <w:tab w:val="left" w:pos="0"/>
          <w:tab w:val="clear" w:pos="2149"/>
        </w:tabs>
        <w:autoSpaceDE w:val="0"/>
        <w:autoSpaceDN w:val="0"/>
        <w:adjustRightInd w:val="0"/>
        <w:ind w:left="0" w:firstLine="178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bookmarkStart w:id="0" w:name="_GoBack"/>
      <w:r>
        <w:pict>
          <v:shape id="_x0000_s1027" o:spid="_x0000_s1027" o:spt="172" type="#_x0000_t172" style="position:absolute;left:0pt;margin-left:11.05pt;margin-top:1.7pt;height:386.65pt;width:443.5pt;rotation:-865639f;z-index:-251654144;mso-width-relative:page;mso-height-relative:page;" fillcolor="#000000" filled="t" stroked="f" coordsize="21600,21600">
            <v:path/>
            <v:fill on="t" opacity="13107f" focussize="0,0"/>
            <v:stroke on="f"/>
            <v:imagedata o:title=""/>
            <o:lock v:ext="edit"/>
            <v:textpath on="t" fitshape="t" fitpath="t" trim="t" xscale="f" string="PROIECT" style="font-family:Arial Black;font-size:80pt;v-text-align:center;"/>
          </v:shape>
        </w:pict>
      </w:r>
      <w:bookmarkEnd w:id="0"/>
      <w:r>
        <w:rPr>
          <w:rFonts w:hint="default" w:ascii="Trebuchet MS" w:hAnsi="Trebuchet MS" w:cs="Trebuchet MS"/>
          <w:sz w:val="24"/>
          <w:szCs w:val="24"/>
          <w:lang w:val="ro-RO"/>
        </w:rPr>
        <w:t>„</w:t>
      </w:r>
      <w:r>
        <w:rPr>
          <w:rFonts w:hint="default" w:ascii="Trebuchet MS" w:hAnsi="Trebuchet MS" w:cs="Trebuchet MS"/>
          <w:sz w:val="24"/>
          <w:szCs w:val="24"/>
          <w:lang w:val="en-US"/>
        </w:rPr>
        <w:t>Situaţie centralizatoare a datelor cuprinse în formular</w:t>
      </w:r>
      <w:r>
        <w:rPr>
          <w:rFonts w:hint="default" w:ascii="Trebuchet MS" w:hAnsi="Trebuchet MS" w:cs="Trebuchet MS"/>
          <w:sz w:val="24"/>
          <w:szCs w:val="24"/>
          <w:lang w:val="ro-RO"/>
        </w:rPr>
        <w:t>ul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 230</w:t>
      </w:r>
      <w:r>
        <w:rPr>
          <w:rFonts w:hint="default" w:ascii="Trebuchet MS" w:hAnsi="Trebuchet MS" w:cs="Trebuchet MS"/>
          <w:sz w:val="24"/>
          <w:szCs w:val="24"/>
          <w:lang w:val="ro-RO"/>
        </w:rPr>
        <w:t>, transmisă de entitatea beneficiară”;</w:t>
      </w:r>
    </w:p>
    <w:p>
      <w:pPr>
        <w:numPr>
          <w:ilvl w:val="1"/>
          <w:numId w:val="4"/>
        </w:numPr>
        <w:tabs>
          <w:tab w:val="left" w:pos="0"/>
          <w:tab w:val="clear" w:pos="2149"/>
        </w:tabs>
        <w:autoSpaceDE w:val="0"/>
        <w:autoSpaceDN w:val="0"/>
        <w:adjustRightInd w:val="0"/>
        <w:ind w:left="0" w:firstLine="178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„Notificare privind destinaţia sumei reprezentând până la 3,5% din impozitul anual pe veniturile din salarii și asimilate salariilor, pentru susținerea entităţilor nonprofit/unităţilor de cult”;</w:t>
      </w:r>
    </w:p>
    <w:p>
      <w:pPr>
        <w:numPr>
          <w:ilvl w:val="1"/>
          <w:numId w:val="4"/>
        </w:numPr>
        <w:tabs>
          <w:tab w:val="left" w:pos="0"/>
          <w:tab w:val="clear" w:pos="2149"/>
        </w:tabs>
        <w:autoSpaceDE w:val="0"/>
        <w:autoSpaceDN w:val="0"/>
        <w:adjustRightInd w:val="0"/>
        <w:ind w:left="0" w:firstLine="178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„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Notificare privind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comunicarea </w:t>
      </w:r>
      <w:r>
        <w:rPr>
          <w:rFonts w:hint="default" w:ascii="Trebuchet MS" w:hAnsi="Trebuchet MS" w:cs="Trebuchet MS"/>
          <w:sz w:val="24"/>
          <w:szCs w:val="24"/>
          <w:lang w:val="en-US"/>
        </w:rPr>
        <w:t>contul</w:t>
      </w:r>
      <w:r>
        <w:rPr>
          <w:rFonts w:hint="default" w:ascii="Trebuchet MS" w:hAnsi="Trebuchet MS" w:cs="Trebuchet MS"/>
          <w:sz w:val="24"/>
          <w:szCs w:val="24"/>
          <w:lang w:val="ro-RO"/>
        </w:rPr>
        <w:t>ui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 bancar </w:t>
      </w:r>
      <w:r>
        <w:rPr>
          <w:rFonts w:hint="default" w:ascii="Trebuchet MS" w:hAnsi="Trebuchet MS" w:cs="Trebuchet MS"/>
          <w:sz w:val="24"/>
          <w:szCs w:val="24"/>
          <w:lang w:val="ro-RO"/>
        </w:rPr>
        <w:t>de către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 entit</w:t>
      </w:r>
      <w:r>
        <w:rPr>
          <w:rFonts w:hint="default" w:ascii="Trebuchet MS" w:hAnsi="Trebuchet MS" w:cs="Trebuchet MS"/>
          <w:sz w:val="24"/>
          <w:szCs w:val="24"/>
          <w:lang w:val="ro-RO"/>
        </w:rPr>
        <w:t>atea beneficiară”;</w:t>
      </w:r>
    </w:p>
    <w:p>
      <w:pPr>
        <w:numPr>
          <w:ilvl w:val="1"/>
          <w:numId w:val="4"/>
        </w:numPr>
        <w:tabs>
          <w:tab w:val="left" w:pos="-120"/>
          <w:tab w:val="clear" w:pos="2149"/>
        </w:tabs>
        <w:autoSpaceDE w:val="0"/>
        <w:autoSpaceDN w:val="0"/>
        <w:adjustRightInd w:val="0"/>
        <w:ind w:left="0" w:firstLine="178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„</w:t>
      </w:r>
      <w:r>
        <w:rPr>
          <w:rFonts w:hint="default" w:ascii="Trebuchet MS" w:hAnsi="Trebuchet MS" w:cs="Trebuchet MS"/>
          <w:sz w:val="24"/>
          <w:szCs w:val="24"/>
          <w:lang w:val="en-US"/>
        </w:rPr>
        <w:t>Notificare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 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privind comunicarea datelor de identificare a contribuabililor și a sumelor direcţionate de aceștia din impozitul </w:t>
      </w:r>
      <w:r>
        <w:rPr>
          <w:rFonts w:hint="default" w:ascii="Trebuchet MS" w:hAnsi="Trebuchet MS" w:cs="Trebuchet MS"/>
          <w:sz w:val="24"/>
          <w:szCs w:val="24"/>
          <w:lang w:val="ro-RO"/>
        </w:rPr>
        <w:t>pe venit”;</w:t>
      </w:r>
    </w:p>
    <w:p>
      <w:pPr>
        <w:numPr>
          <w:ilvl w:val="1"/>
          <w:numId w:val="4"/>
        </w:numPr>
        <w:tabs>
          <w:tab w:val="clear" w:pos="2149"/>
        </w:tabs>
        <w:autoSpaceDE w:val="0"/>
        <w:autoSpaceDN w:val="0"/>
        <w:adjustRightInd w:val="0"/>
        <w:ind w:left="0" w:firstLine="178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„Referat de stabilire a sumei reprezentând până la 3,5% din impozitul anual datorat, virată în mod necuvenit entităților nonprofit/unităților de cult”;</w:t>
      </w:r>
    </w:p>
    <w:p>
      <w:pPr>
        <w:numPr>
          <w:ilvl w:val="0"/>
          <w:numId w:val="3"/>
        </w:numPr>
        <w:tabs>
          <w:tab w:val="left" w:pos="0"/>
          <w:tab w:val="clear" w:pos="1429"/>
        </w:tabs>
        <w:autoSpaceDE w:val="0"/>
        <w:autoSpaceDN w:val="0"/>
        <w:adjustRightInd w:val="0"/>
        <w:ind w:left="0" w:firstLine="1069"/>
        <w:jc w:val="both"/>
        <w:rPr>
          <w:rFonts w:hint="default" w:ascii="Trebuchet MS" w:hAnsi="Trebuchet MS" w:cs="Trebuchet MS"/>
          <w:sz w:val="24"/>
          <w:szCs w:val="24"/>
          <w:lang w:val="ro-RO"/>
        </w:rPr>
      </w:pPr>
      <w:r>
        <w:rPr>
          <w:rFonts w:hint="default" w:ascii="Trebuchet MS" w:hAnsi="Trebuchet MS" w:cs="Trebuchet MS"/>
          <w:sz w:val="24"/>
          <w:szCs w:val="24"/>
          <w:lang w:val="ro-RO"/>
        </w:rPr>
        <w:t>aprobarea procedurii privind stabilirea sumei reprezentând până la 3,5% din impozitul pe venit pentru susţinerea entităţilor nonprofit care se înfiinţează şi funcţionează în condiţiile legii şi a unităţilor de cult, precum și pentru acordarea de burse private, conform legii. P</w:t>
      </w:r>
      <w:r>
        <w:rPr>
          <w:rFonts w:ascii="Trebuchet MS" w:hAnsi="Trebuchet MS" w:cs="Trebuchet MS"/>
          <w:color w:val="auto"/>
          <w:sz w:val="24"/>
          <w:szCs w:val="24"/>
          <w:lang w:val="ro-RO"/>
        </w:rPr>
        <w:t>entru evitarea unor disfuncționalități în procesul de virare a sumelor către entitatea beneficiară, în procedură au fost introduse dispoziții referitoare la notificarea de către organul fiscal a entității beneficiare cu privire la transmiterea noului cont bancar, întrucât contul bancar menționat în cerere figurează ca fiind închis.</w:t>
      </w:r>
    </w:p>
    <w:p>
      <w:pPr>
        <w:numPr>
          <w:ilvl w:val="-1"/>
          <w:numId w:val="0"/>
        </w:numPr>
        <w:tabs>
          <w:tab w:val="left" w:pos="-12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Trebuchet MS"/>
          <w:sz w:val="24"/>
          <w:szCs w:val="24"/>
          <w:lang w:val="ro-RO" w:eastAsia="en-US"/>
        </w:rPr>
      </w:pPr>
      <w:r>
        <w:rPr>
          <w:rFonts w:ascii="Trebuchet MS" w:hAnsi="Trebuchet MS" w:cs="Trebuchet MS"/>
          <w:color w:val="auto"/>
          <w:sz w:val="24"/>
          <w:szCs w:val="24"/>
          <w:lang w:val="ro-RO"/>
        </w:rPr>
        <w:t xml:space="preserve">Totodată, </w:t>
      </w:r>
      <w:r>
        <w:rPr>
          <w:rFonts w:ascii="Trebuchet MS" w:hAnsi="Trebuchet MS" w:cs="Trebuchet MS"/>
          <w:sz w:val="24"/>
          <w:szCs w:val="24"/>
          <w:lang w:val="ro-RO" w:eastAsia="en-US"/>
        </w:rPr>
        <w:t xml:space="preserve">au fost actualizate în mod corespunzător și instrucțiunile de completare a formularului 230 </w:t>
      </w:r>
      <w:r>
        <w:rPr>
          <w:rFonts w:hint="default" w:ascii="Trebuchet MS" w:hAnsi="Trebuchet MS" w:cs="Trebuchet MS"/>
          <w:sz w:val="24"/>
          <w:szCs w:val="24"/>
          <w:lang w:val="ro-RO"/>
        </w:rPr>
        <w:t xml:space="preserve">„Cerere privind destinaţia sumei reprezentând până la 3,5% din impozitul anual 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pe veniturile din salarii </w:t>
      </w:r>
      <w:r>
        <w:rPr>
          <w:rFonts w:hint="default" w:ascii="Trebuchet MS" w:hAnsi="Trebuchet MS" w:cs="Trebuchet MS"/>
          <w:sz w:val="24"/>
          <w:szCs w:val="24"/>
          <w:lang w:val="ro-RO"/>
        </w:rPr>
        <w:t>și</w:t>
      </w:r>
      <w:r>
        <w:rPr>
          <w:rFonts w:hint="default" w:ascii="Trebuchet MS" w:hAnsi="Trebuchet MS" w:cs="Trebuchet MS"/>
          <w:sz w:val="24"/>
          <w:szCs w:val="24"/>
          <w:lang w:val="en-US"/>
        </w:rPr>
        <w:t xml:space="preserve"> asimilate salariilor</w:t>
      </w:r>
      <w:r>
        <w:rPr>
          <w:rFonts w:hint="default" w:ascii="Trebuchet MS" w:hAnsi="Trebuchet MS" w:cs="Trebuchet MS"/>
          <w:sz w:val="24"/>
          <w:szCs w:val="24"/>
          <w:lang w:val="ro-RO"/>
        </w:rPr>
        <w:t>”</w:t>
      </w:r>
      <w:r>
        <w:rPr>
          <w:rFonts w:ascii="Trebuchet MS" w:hAnsi="Trebuchet MS" w:cs="Trebuchet MS"/>
          <w:sz w:val="24"/>
          <w:szCs w:val="24"/>
          <w:lang w:val="ro-RO" w:eastAsia="en-US"/>
        </w:rPr>
        <w:t>.</w:t>
      </w:r>
    </w:p>
    <w:p>
      <w:pPr>
        <w:numPr>
          <w:ilvl w:val="-1"/>
          <w:numId w:val="0"/>
        </w:numPr>
        <w:tabs>
          <w:tab w:val="left" w:pos="-120"/>
        </w:tabs>
        <w:autoSpaceDE w:val="0"/>
        <w:autoSpaceDN w:val="0"/>
        <w:adjustRightInd w:val="0"/>
        <w:ind w:left="0" w:firstLine="0"/>
        <w:jc w:val="both"/>
        <w:rPr>
          <w:rFonts w:ascii="Trebuchet MS" w:hAnsi="Trebuchet MS" w:cs="Trebuchet MS"/>
          <w:sz w:val="24"/>
          <w:szCs w:val="24"/>
          <w:lang w:val="en-US" w:eastAsia="en-US"/>
        </w:rPr>
      </w:pPr>
      <w:r>
        <w:rPr>
          <w:rFonts w:ascii="Trebuchet MS" w:hAnsi="Trebuchet MS" w:cs="Trebuchet MS"/>
          <w:sz w:val="24"/>
          <w:szCs w:val="24"/>
          <w:lang w:val="en-US" w:eastAsia="en-US"/>
        </w:rPr>
        <w:t>Prevederile actului normativ se aplică de către contribuabilii care opt</w:t>
      </w:r>
      <w:r>
        <w:rPr>
          <w:rFonts w:ascii="Trebuchet MS" w:hAnsi="Trebuchet MS" w:cs="Trebuchet MS"/>
          <w:sz w:val="24"/>
          <w:szCs w:val="24"/>
          <w:lang w:val="ro-RO" w:eastAsia="en-US"/>
        </w:rPr>
        <w:t>ează</w:t>
      </w:r>
      <w:r>
        <w:rPr>
          <w:rFonts w:ascii="Trebuchet MS" w:hAnsi="Trebuchet MS" w:cs="Trebuchet MS"/>
          <w:sz w:val="24"/>
          <w:szCs w:val="24"/>
          <w:lang w:val="en-US" w:eastAsia="en-US"/>
        </w:rPr>
        <w:t xml:space="preserve"> pentru direcționarea unei sume reprezentând până la 3,5% din impozitul anual pe veniturile din salarii și asimilate salariilor realizate începând cu anul 2024.</w:t>
      </w:r>
    </w:p>
    <w:p>
      <w:pPr>
        <w:suppressAutoHyphens/>
        <w:jc w:val="both"/>
        <w:rPr>
          <w:rFonts w:ascii="Trebuchet MS" w:hAnsi="Trebuchet MS"/>
          <w:sz w:val="24"/>
          <w:szCs w:val="24"/>
          <w:lang w:val="ro-RO"/>
        </w:rPr>
      </w:pPr>
    </w:p>
    <w:p>
      <w:pPr>
        <w:suppressAutoHyphens/>
        <w:jc w:val="both"/>
        <w:rPr>
          <w:rFonts w:ascii="Trebuchet MS" w:hAnsi="Trebuchet MS"/>
          <w:sz w:val="24"/>
          <w:szCs w:val="24"/>
          <w:lang w:val="ro-RO"/>
        </w:rPr>
      </w:pPr>
    </w:p>
    <w:p>
      <w:pPr>
        <w:suppressAutoHyphens/>
        <w:jc w:val="both"/>
        <w:rPr>
          <w:rFonts w:ascii="Trebuchet MS" w:hAnsi="Trebuchet MS"/>
          <w:sz w:val="24"/>
          <w:szCs w:val="24"/>
          <w:lang w:val="ro-RO"/>
        </w:rPr>
      </w:pPr>
    </w:p>
    <w:p>
      <w:pPr>
        <w:suppressAutoHyphens/>
        <w:jc w:val="both"/>
        <w:rPr>
          <w:rFonts w:ascii="Trebuchet MS" w:hAnsi="Trebuchet MS"/>
          <w:sz w:val="24"/>
          <w:szCs w:val="24"/>
          <w:lang w:val="ro-RO"/>
        </w:rPr>
      </w:pPr>
    </w:p>
    <w:p>
      <w:pPr>
        <w:suppressAutoHyphens/>
        <w:jc w:val="both"/>
        <w:rPr>
          <w:rFonts w:ascii="Trebuchet MS" w:hAnsi="Trebuchet MS"/>
          <w:sz w:val="24"/>
          <w:szCs w:val="24"/>
          <w:lang w:val="ro-RO"/>
        </w:rPr>
      </w:pPr>
    </w:p>
    <w:p>
      <w:pPr>
        <w:suppressAutoHyphens/>
        <w:jc w:val="both"/>
        <w:rPr>
          <w:rFonts w:ascii="Trebuchet MS" w:hAnsi="Trebuchet MS"/>
          <w:sz w:val="24"/>
          <w:szCs w:val="24"/>
          <w:lang w:val="ro-RO"/>
        </w:rPr>
      </w:pPr>
    </w:p>
    <w:sectPr>
      <w:footerReference r:id="rId3" w:type="default"/>
      <w:pgSz w:w="11906" w:h="16838"/>
      <w:pgMar w:top="611" w:right="1238" w:bottom="627" w:left="1308" w:header="0" w:footer="0" w:gutter="0"/>
      <w:cols w:space="720" w:num="1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iberation Sans">
    <w:panose1 w:val="020B0604020202020204"/>
    <w:charset w:val="00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ivienne Rom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rajan Pro">
    <w:panose1 w:val="02020502050506020301"/>
    <w:charset w:val="00"/>
    <w:family w:val="roman"/>
    <w:pitch w:val="default"/>
    <w:sig w:usb0="800000AF" w:usb1="5000204B" w:usb2="00000000" w:usb3="00000000" w:csb0="0000009B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Franklin Gothic Demi">
    <w:panose1 w:val="020B0703020102020204"/>
    <w:charset w:val="00"/>
    <w:family w:val="swiss"/>
    <w:pitch w:val="default"/>
    <w:sig w:usb0="00000287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42104826"/>
    </w:sdtPr>
    <w:sdtContent>
      <w:p>
        <w:pPr>
          <w:pStyle w:val="5"/>
        </w:pPr>
      </w:p>
      <w:p>
        <w:pPr>
          <w:pStyle w:val="5"/>
          <w:rPr>
            <w:rFonts w:ascii="Trebuchet MS" w:hAnsi="Trebuchet MS"/>
          </w:rPr>
        </w:pPr>
        <w:r>
          <w:rPr>
            <w:rFonts w:ascii="Trebuchet MS" w:hAnsi="Trebuchet MS" w:eastAsia="Franklin Gothic Demi" w:cs="Arial"/>
            <w:b/>
            <w:bCs/>
            <w:color w:val="000000"/>
            <w:sz w:val="18"/>
            <w:szCs w:val="18"/>
            <w:lang w:val="ro-RO"/>
          </w:rPr>
          <w:t>Document care conține date cu caracter personal protejate de prevederile Regulamentului (UE) 2016/679</w:t>
        </w:r>
      </w:p>
      <w:p>
        <w:pPr>
          <w:pStyle w:val="5"/>
          <w:jc w:val="right"/>
        </w:pP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69CBAF"/>
    <w:multiLevelType w:val="singleLevel"/>
    <w:tmpl w:val="8069CBA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66523EF"/>
    <w:multiLevelType w:val="multilevel"/>
    <w:tmpl w:val="266523EF"/>
    <w:lvl w:ilvl="0" w:tentative="0">
      <w:start w:val="1"/>
      <w:numFmt w:val="bullet"/>
      <w:lvlText w:val=""/>
      <w:lvlJc w:val="left"/>
      <w:pPr>
        <w:tabs>
          <w:tab w:val="left" w:pos="1429"/>
        </w:tabs>
        <w:ind w:left="1429" w:hanging="360"/>
      </w:pPr>
      <w:rPr>
        <w:rFonts w:hint="default" w:ascii="Wingdings" w:hAnsi="Wingdings"/>
      </w:rPr>
    </w:lvl>
    <w:lvl w:ilvl="1" w:tentative="0">
      <w:start w:val="1"/>
      <w:numFmt w:val="bullet"/>
      <w:lvlText w:val=""/>
      <w:lvlJc w:val="left"/>
      <w:pPr>
        <w:tabs>
          <w:tab w:val="left" w:pos="2149"/>
        </w:tabs>
        <w:ind w:left="2149" w:hanging="360"/>
      </w:pPr>
      <w:rPr>
        <w:rFonts w:hint="default" w:ascii="Symbol" w:hAnsi="Symbol"/>
        <w:color w:val="auto"/>
      </w:rPr>
    </w:lvl>
    <w:lvl w:ilvl="2" w:tentative="0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hint="default" w:ascii="Wingdings" w:hAnsi="Wingdings"/>
      </w:rPr>
    </w:lvl>
  </w:abstractNum>
  <w:abstractNum w:abstractNumId="2">
    <w:nsid w:val="66506EDB"/>
    <w:multiLevelType w:val="singleLevel"/>
    <w:tmpl w:val="66506EDB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76684026"/>
    <w:multiLevelType w:val="multilevel"/>
    <w:tmpl w:val="76684026"/>
    <w:lvl w:ilvl="0" w:tentative="0">
      <w:start w:val="1"/>
      <w:numFmt w:val="bullet"/>
      <w:lvlText w:val=""/>
      <w:lvlJc w:val="left"/>
      <w:pPr>
        <w:tabs>
          <w:tab w:val="left" w:pos="1429"/>
        </w:tabs>
        <w:ind w:left="1429" w:hanging="360"/>
      </w:pPr>
      <w:rPr>
        <w:rFonts w:hint="default" w:ascii="Wingdings" w:hAnsi="Wingdings"/>
      </w:rPr>
    </w:lvl>
    <w:lvl w:ilvl="1" w:tentative="0">
      <w:start w:val="1"/>
      <w:numFmt w:val="bullet"/>
      <w:lvlText w:val=""/>
      <w:lvlJc w:val="left"/>
      <w:pPr>
        <w:tabs>
          <w:tab w:val="left" w:pos="2149"/>
        </w:tabs>
        <w:ind w:left="2149" w:hanging="360"/>
      </w:pPr>
      <w:rPr>
        <w:rFonts w:hint="default" w:ascii="Symbol" w:hAnsi="Symbol"/>
        <w:color w:val="auto"/>
      </w:rPr>
    </w:lvl>
    <w:lvl w:ilvl="2" w:tentative="0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cumentProtection w:enforcement="0"/>
  <w:defaultTabStop w:val="720"/>
  <w:noPunctuationKerning w:val="1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57D7"/>
    <w:rsid w:val="00123D03"/>
    <w:rsid w:val="00172A27"/>
    <w:rsid w:val="002B1AC3"/>
    <w:rsid w:val="00386634"/>
    <w:rsid w:val="004854D3"/>
    <w:rsid w:val="00670F94"/>
    <w:rsid w:val="00704A38"/>
    <w:rsid w:val="00DD04E5"/>
    <w:rsid w:val="00DE4951"/>
    <w:rsid w:val="00EF3D3A"/>
    <w:rsid w:val="01A71C06"/>
    <w:rsid w:val="01DF40E7"/>
    <w:rsid w:val="02C25EEB"/>
    <w:rsid w:val="04626876"/>
    <w:rsid w:val="0637747B"/>
    <w:rsid w:val="066F1682"/>
    <w:rsid w:val="06A85C60"/>
    <w:rsid w:val="06F37D82"/>
    <w:rsid w:val="07E3589F"/>
    <w:rsid w:val="08CA08ED"/>
    <w:rsid w:val="092D47B0"/>
    <w:rsid w:val="09F32A10"/>
    <w:rsid w:val="0B9712D0"/>
    <w:rsid w:val="0BBB4165"/>
    <w:rsid w:val="0C315E16"/>
    <w:rsid w:val="0C544D5E"/>
    <w:rsid w:val="0D2A6A66"/>
    <w:rsid w:val="0D753EA5"/>
    <w:rsid w:val="0E35417C"/>
    <w:rsid w:val="0E552FF5"/>
    <w:rsid w:val="0E5E783B"/>
    <w:rsid w:val="0F514C25"/>
    <w:rsid w:val="1021778A"/>
    <w:rsid w:val="10743217"/>
    <w:rsid w:val="11074E10"/>
    <w:rsid w:val="116E2186"/>
    <w:rsid w:val="121915F7"/>
    <w:rsid w:val="13746661"/>
    <w:rsid w:val="13FE15EF"/>
    <w:rsid w:val="14A01A02"/>
    <w:rsid w:val="153A6E90"/>
    <w:rsid w:val="15FE5955"/>
    <w:rsid w:val="161A063E"/>
    <w:rsid w:val="17C665AB"/>
    <w:rsid w:val="184B22F8"/>
    <w:rsid w:val="185F37FF"/>
    <w:rsid w:val="188E4975"/>
    <w:rsid w:val="18B600EE"/>
    <w:rsid w:val="18D86F4C"/>
    <w:rsid w:val="18F561A4"/>
    <w:rsid w:val="191A183E"/>
    <w:rsid w:val="191C4088"/>
    <w:rsid w:val="1A6C15A3"/>
    <w:rsid w:val="1A7659F3"/>
    <w:rsid w:val="1AC2186C"/>
    <w:rsid w:val="1BF21E69"/>
    <w:rsid w:val="1CB75DB0"/>
    <w:rsid w:val="1CD30452"/>
    <w:rsid w:val="1E731CB1"/>
    <w:rsid w:val="1EB43949"/>
    <w:rsid w:val="1F144040"/>
    <w:rsid w:val="20A6733F"/>
    <w:rsid w:val="21076A9B"/>
    <w:rsid w:val="21F0506C"/>
    <w:rsid w:val="22311BF6"/>
    <w:rsid w:val="231613F9"/>
    <w:rsid w:val="23791ABD"/>
    <w:rsid w:val="23D53F7D"/>
    <w:rsid w:val="24B42108"/>
    <w:rsid w:val="257537F8"/>
    <w:rsid w:val="25EE4103"/>
    <w:rsid w:val="26AB05CB"/>
    <w:rsid w:val="27110726"/>
    <w:rsid w:val="27127E98"/>
    <w:rsid w:val="271B4883"/>
    <w:rsid w:val="2721571A"/>
    <w:rsid w:val="283468B0"/>
    <w:rsid w:val="288B2D76"/>
    <w:rsid w:val="28C8250F"/>
    <w:rsid w:val="28E57F3C"/>
    <w:rsid w:val="2933070D"/>
    <w:rsid w:val="2A43397A"/>
    <w:rsid w:val="2C987F67"/>
    <w:rsid w:val="2D9E5898"/>
    <w:rsid w:val="2DC83486"/>
    <w:rsid w:val="2DD942D8"/>
    <w:rsid w:val="2DDC0F11"/>
    <w:rsid w:val="2E0C3A16"/>
    <w:rsid w:val="2E3F4230"/>
    <w:rsid w:val="2E6C116A"/>
    <w:rsid w:val="2EB37F7C"/>
    <w:rsid w:val="2ED04F66"/>
    <w:rsid w:val="2EFD2554"/>
    <w:rsid w:val="2F241FCB"/>
    <w:rsid w:val="2FA772B8"/>
    <w:rsid w:val="2FB63537"/>
    <w:rsid w:val="2FCC4ED1"/>
    <w:rsid w:val="303569F9"/>
    <w:rsid w:val="306C0789"/>
    <w:rsid w:val="32355210"/>
    <w:rsid w:val="32433346"/>
    <w:rsid w:val="329D53F6"/>
    <w:rsid w:val="32AE70BE"/>
    <w:rsid w:val="32DA78C7"/>
    <w:rsid w:val="340D063A"/>
    <w:rsid w:val="3549666E"/>
    <w:rsid w:val="359411A1"/>
    <w:rsid w:val="35B848DE"/>
    <w:rsid w:val="37300181"/>
    <w:rsid w:val="38D336B2"/>
    <w:rsid w:val="38D9077C"/>
    <w:rsid w:val="398367B0"/>
    <w:rsid w:val="3A490FAE"/>
    <w:rsid w:val="3A527327"/>
    <w:rsid w:val="3A962C91"/>
    <w:rsid w:val="3BCC7E8F"/>
    <w:rsid w:val="3D4C5F94"/>
    <w:rsid w:val="3EEF54C7"/>
    <w:rsid w:val="3F166F03"/>
    <w:rsid w:val="3FCF6241"/>
    <w:rsid w:val="406801AF"/>
    <w:rsid w:val="40AF169B"/>
    <w:rsid w:val="40EF7456"/>
    <w:rsid w:val="41F11862"/>
    <w:rsid w:val="42845402"/>
    <w:rsid w:val="459A59F1"/>
    <w:rsid w:val="460777A9"/>
    <w:rsid w:val="46266953"/>
    <w:rsid w:val="4699209E"/>
    <w:rsid w:val="46D26D0D"/>
    <w:rsid w:val="46D87E78"/>
    <w:rsid w:val="47542252"/>
    <w:rsid w:val="48CD3843"/>
    <w:rsid w:val="4A8063A5"/>
    <w:rsid w:val="4AD94511"/>
    <w:rsid w:val="4B3D2FB2"/>
    <w:rsid w:val="4C2B07B0"/>
    <w:rsid w:val="4D456EE2"/>
    <w:rsid w:val="4D6B08D8"/>
    <w:rsid w:val="4E101F7B"/>
    <w:rsid w:val="4F2D3769"/>
    <w:rsid w:val="50DA4426"/>
    <w:rsid w:val="51BB4A66"/>
    <w:rsid w:val="52030EA6"/>
    <w:rsid w:val="526636FF"/>
    <w:rsid w:val="52F97879"/>
    <w:rsid w:val="53C8715D"/>
    <w:rsid w:val="5447048D"/>
    <w:rsid w:val="54F860E9"/>
    <w:rsid w:val="55476F8D"/>
    <w:rsid w:val="557A3ABC"/>
    <w:rsid w:val="55B73944"/>
    <w:rsid w:val="56C2238A"/>
    <w:rsid w:val="583C5F5D"/>
    <w:rsid w:val="590D4433"/>
    <w:rsid w:val="59DB3ADF"/>
    <w:rsid w:val="5B2A0CEE"/>
    <w:rsid w:val="5CC01D5D"/>
    <w:rsid w:val="5DB43D9C"/>
    <w:rsid w:val="5DE07592"/>
    <w:rsid w:val="5E186200"/>
    <w:rsid w:val="5E5F751E"/>
    <w:rsid w:val="5F12070B"/>
    <w:rsid w:val="5FE4608A"/>
    <w:rsid w:val="60D60AC0"/>
    <w:rsid w:val="61F700D7"/>
    <w:rsid w:val="623C55CA"/>
    <w:rsid w:val="62700D45"/>
    <w:rsid w:val="62C02635"/>
    <w:rsid w:val="638D7383"/>
    <w:rsid w:val="64053EC6"/>
    <w:rsid w:val="643915C7"/>
    <w:rsid w:val="64FC128C"/>
    <w:rsid w:val="65052CF2"/>
    <w:rsid w:val="65CF6AC6"/>
    <w:rsid w:val="664643CA"/>
    <w:rsid w:val="66856AB1"/>
    <w:rsid w:val="67B1353F"/>
    <w:rsid w:val="69757766"/>
    <w:rsid w:val="699278A6"/>
    <w:rsid w:val="69E657E3"/>
    <w:rsid w:val="6A8C6701"/>
    <w:rsid w:val="6AB04082"/>
    <w:rsid w:val="6BCF63E8"/>
    <w:rsid w:val="6C6B7D70"/>
    <w:rsid w:val="6D1100B3"/>
    <w:rsid w:val="6D2B343B"/>
    <w:rsid w:val="6D3B6669"/>
    <w:rsid w:val="6D4C7896"/>
    <w:rsid w:val="6D7069B2"/>
    <w:rsid w:val="6E0154E6"/>
    <w:rsid w:val="6E9F48AA"/>
    <w:rsid w:val="6ECF2631"/>
    <w:rsid w:val="6EFB4DAE"/>
    <w:rsid w:val="6F4D5E4D"/>
    <w:rsid w:val="6FCE13D6"/>
    <w:rsid w:val="6FFC6AEF"/>
    <w:rsid w:val="707B70D2"/>
    <w:rsid w:val="70DB36AD"/>
    <w:rsid w:val="7111646C"/>
    <w:rsid w:val="71231F88"/>
    <w:rsid w:val="71975304"/>
    <w:rsid w:val="71C51C09"/>
    <w:rsid w:val="71C73228"/>
    <w:rsid w:val="7240115C"/>
    <w:rsid w:val="72AC372A"/>
    <w:rsid w:val="72BE15EB"/>
    <w:rsid w:val="73A72E5B"/>
    <w:rsid w:val="73AD7D52"/>
    <w:rsid w:val="73BD62B1"/>
    <w:rsid w:val="742B5882"/>
    <w:rsid w:val="74F56D8B"/>
    <w:rsid w:val="761E5F53"/>
    <w:rsid w:val="764C225F"/>
    <w:rsid w:val="768F2505"/>
    <w:rsid w:val="76DD71C0"/>
    <w:rsid w:val="77220ABE"/>
    <w:rsid w:val="77A729B4"/>
    <w:rsid w:val="77F659A7"/>
    <w:rsid w:val="78203FB3"/>
    <w:rsid w:val="78470C59"/>
    <w:rsid w:val="78E46319"/>
    <w:rsid w:val="79582AFD"/>
    <w:rsid w:val="79D40A69"/>
    <w:rsid w:val="7A1B038B"/>
    <w:rsid w:val="7B100954"/>
    <w:rsid w:val="7B421B5B"/>
    <w:rsid w:val="7B9C5D98"/>
    <w:rsid w:val="7BCC1673"/>
    <w:rsid w:val="7BF8176D"/>
    <w:rsid w:val="7C6D3710"/>
    <w:rsid w:val="7D5C6BC0"/>
    <w:rsid w:val="7E502ADA"/>
    <w:rsid w:val="7E6336A2"/>
    <w:rsid w:val="7E652328"/>
    <w:rsid w:val="7E76394D"/>
    <w:rsid w:val="7E8D44C9"/>
    <w:rsid w:val="7EF956D8"/>
    <w:rsid w:val="7F07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 w:line="276" w:lineRule="auto"/>
    </w:pPr>
  </w:style>
  <w:style w:type="paragraph" w:styleId="3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4">
    <w:name w:val="annotation text"/>
    <w:basedOn w:val="1"/>
    <w:semiHidden/>
    <w:unhideWhenUsed/>
    <w:qFormat/>
    <w:uiPriority w:val="99"/>
  </w:style>
  <w:style w:type="paragraph" w:styleId="5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List"/>
    <w:basedOn w:val="2"/>
    <w:qFormat/>
    <w:uiPriority w:val="0"/>
    <w:rPr>
      <w:rFonts w:cs="Arial"/>
    </w:rPr>
  </w:style>
  <w:style w:type="paragraph" w:styleId="8">
    <w:name w:val="Normal (Web)"/>
    <w:basedOn w:val="1"/>
    <w:qFormat/>
    <w:uiPriority w:val="0"/>
    <w:pPr>
      <w:spacing w:before="280" w:after="280"/>
    </w:pPr>
    <w:rPr>
      <w:color w:val="000000"/>
    </w:rPr>
  </w:style>
  <w:style w:type="character" w:styleId="10">
    <w:name w:val="Emphasis"/>
    <w:qFormat/>
    <w:uiPriority w:val="0"/>
    <w:rPr>
      <w:i/>
      <w:i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eader Char"/>
    <w:basedOn w:val="9"/>
    <w:link w:val="6"/>
    <w:qFormat/>
    <w:uiPriority w:val="99"/>
  </w:style>
  <w:style w:type="character" w:customStyle="1" w:styleId="14">
    <w:name w:val="Footer Char"/>
    <w:basedOn w:val="9"/>
    <w:link w:val="5"/>
    <w:qFormat/>
    <w:uiPriority w:val="99"/>
  </w:style>
  <w:style w:type="character" w:customStyle="1" w:styleId="15">
    <w:name w:val="Internet 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6">
    <w:name w:val="Heading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7">
    <w:name w:val="Index"/>
    <w:basedOn w:val="1"/>
    <w:qFormat/>
    <w:uiPriority w:val="0"/>
    <w:pPr>
      <w:suppressLineNumbers/>
    </w:pPr>
    <w:rPr>
      <w:rFonts w:cs="Arial"/>
    </w:rPr>
  </w:style>
  <w:style w:type="paragraph" w:customStyle="1" w:styleId="18">
    <w:name w:val="Caracter Caracter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pl-PL"/>
    </w:rPr>
  </w:style>
  <w:style w:type="paragraph" w:customStyle="1" w:styleId="19">
    <w:name w:val="Frame Contents"/>
    <w:basedOn w:val="1"/>
    <w:qFormat/>
    <w:uiPriority w:val="0"/>
  </w:style>
  <w:style w:type="paragraph" w:customStyle="1" w:styleId="20">
    <w:name w:val="Default Text:1"/>
    <w:basedOn w:val="1"/>
    <w:qFormat/>
    <w:uiPriority w:val="0"/>
    <w:rPr>
      <w:szCs w:val="20"/>
      <w:lang w:eastAsia="ar-SA"/>
    </w:rPr>
  </w:style>
  <w:style w:type="paragraph" w:customStyle="1" w:styleId="21">
    <w:name w:val="Default Text:2"/>
    <w:basedOn w:val="1"/>
    <w:qFormat/>
    <w:uiPriority w:val="0"/>
    <w:pPr>
      <w:overflowPunct w:val="0"/>
      <w:autoSpaceDE w:val="0"/>
    </w:pPr>
    <w:rPr>
      <w:kern w:val="2"/>
      <w:szCs w:val="20"/>
    </w:rPr>
  </w:style>
  <w:style w:type="paragraph" w:customStyle="1" w:styleId="22">
    <w:name w:val="Default Text"/>
    <w:basedOn w:val="1"/>
    <w:qFormat/>
    <w:uiPriority w:val="0"/>
    <w:pPr>
      <w:autoSpaceDE w:val="0"/>
    </w:pPr>
  </w:style>
  <w:style w:type="paragraph" w:customStyle="1" w:styleId="23">
    <w:name w:val="Caracter Caracter1"/>
    <w:basedOn w:val="1"/>
    <w:qFormat/>
    <w:uiPriority w:val="0"/>
    <w:rPr>
      <w:szCs w:val="24"/>
      <w:lang w:val="pl-PL"/>
    </w:rPr>
  </w:style>
  <w:style w:type="paragraph" w:customStyle="1" w:styleId="24">
    <w:name w:val="Style35001908"/>
    <w:basedOn w:val="1"/>
    <w:qFormat/>
    <w:uiPriority w:val="0"/>
    <w:rPr>
      <w:rFonts w:ascii="Vivienne Rom" w:hAnsi="Vivienne Rom" w:eastAsia="Vivienne Rom" w:cs="Vivienne Rom"/>
      <w:szCs w:val="20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Ministerul Finantelor Publice</Company>
  <Pages>2</Pages>
  <Words>526</Words>
  <Characters>3003</Characters>
  <Lines>25</Lines>
  <Paragraphs>7</Paragraphs>
  <TotalTime>1</TotalTime>
  <ScaleCrop>false</ScaleCrop>
  <LinksUpToDate>false</LinksUpToDate>
  <CharactersWithSpaces>3522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2021-06-24T07:29:00Z</dcterms:created>
  <dc:creator>CRISTIAN-NICOLAE MARIN</dc:creator>
  <cp:lastModifiedBy>30471875</cp:lastModifiedBy>
  <cp:lastPrinted>2024-10-28T14:14:00Z</cp:lastPrinted>
  <dcterms:modified xsi:type="dcterms:W3CDTF">2024-11-04T09:15:19Z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1033-10.2.0.7646</vt:lpwstr>
  </property>
  <property fmtid="{D5CDD505-2E9C-101B-9397-08002B2CF9AE}" pid="10" name="ICV">
    <vt:lpwstr>B50E1F9EC4904B5EADE59BC218487A8F</vt:lpwstr>
  </property>
</Properties>
</file>